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OUTUBRO/2025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173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4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7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EB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0E8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MAX AUGUSTO SANTOS DE ARAÚJO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1183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5D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3F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9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54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WELLINGTON NOGUEIRA AMARANTE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CF36B8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2100</Words>
  <Characters>11167</Characters>
  <Lines>61</Lines>
  <Paragraphs>17</Paragraphs>
  <TotalTime>8</TotalTime>
  <ScaleCrop>false</ScaleCrop>
  <LinksUpToDate>false</LinksUpToDate>
  <CharactersWithSpaces>12696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2025-10-23T13:36:36Z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4E4A0DFA927E47C993E4D3B0E9323368_13</vt:lpwstr>
  </property>
</Properties>
</file>