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E99C"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7C27">
      <w:pPr>
        <w:spacing w:before="9"/>
        <w:rPr>
          <w:sz w:val="25"/>
        </w:rPr>
      </w:pPr>
    </w:p>
    <w:p w14:paraId="3BDD6E0E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 w14:paraId="58A63843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 w14:paraId="512AF6D9">
      <w:pPr>
        <w:rPr>
          <w:b/>
          <w:sz w:val="26"/>
        </w:rPr>
      </w:pPr>
    </w:p>
    <w:p w14:paraId="546378FC">
      <w:pPr>
        <w:rPr>
          <w:b/>
          <w:sz w:val="26"/>
        </w:rPr>
      </w:pPr>
    </w:p>
    <w:p w14:paraId="52B6BEE8"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5</w:t>
      </w:r>
    </w:p>
    <w:p w14:paraId="316AB018">
      <w:pPr>
        <w:spacing w:line="360" w:lineRule="auto"/>
        <w:jc w:val="center"/>
        <w:rPr>
          <w:b/>
          <w:sz w:val="24"/>
        </w:rPr>
      </w:pPr>
    </w:p>
    <w:p w14:paraId="100A228D">
      <w:pPr>
        <w:pStyle w:val="5"/>
        <w:spacing w:line="360" w:lineRule="auto"/>
        <w:jc w:val="center"/>
        <w:rPr>
          <w:rFonts w:hint="default"/>
          <w:sz w:val="20"/>
          <w:lang w:val="pt-BR"/>
        </w:rPr>
      </w:pPr>
      <w:r>
        <w:rPr>
          <w:rFonts w:hint="default"/>
          <w:sz w:val="20"/>
          <w:lang w:val="pt-BR"/>
        </w:rPr>
        <w:t>ATUALIZAÇÃO - JULHO.2025</w:t>
      </w:r>
    </w:p>
    <w:p w14:paraId="188935B7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14:paraId="031A3605">
      <w:pPr>
        <w:pStyle w:val="5"/>
        <w:rPr>
          <w:sz w:val="20"/>
        </w:rPr>
      </w:pPr>
    </w:p>
    <w:p w14:paraId="2137E91B">
      <w:pPr>
        <w:pStyle w:val="5"/>
        <w:rPr>
          <w:sz w:val="20"/>
        </w:rPr>
      </w:pPr>
    </w:p>
    <w:p w14:paraId="11DD0A1B">
      <w:pPr>
        <w:pStyle w:val="5"/>
        <w:rPr>
          <w:sz w:val="20"/>
        </w:rPr>
      </w:pPr>
    </w:p>
    <w:p w14:paraId="3FD8EF0E"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 w14:paraId="0D726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6941A2DF"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8DB3E2" w:themeFill="text2" w:themeFillTint="66"/>
          </w:tcPr>
          <w:p w14:paraId="2328118D"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8DB3E2" w:themeFill="text2" w:themeFillTint="66"/>
          </w:tcPr>
          <w:p w14:paraId="40F66D64"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14:paraId="716EB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69E53757"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 w14:paraId="0DD4F2A6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20/01/2025</w:t>
            </w:r>
          </w:p>
        </w:tc>
        <w:tc>
          <w:tcPr>
            <w:tcW w:w="2552" w:type="dxa"/>
          </w:tcPr>
          <w:p w14:paraId="494587B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4.778.771,82</w:t>
            </w:r>
          </w:p>
        </w:tc>
      </w:tr>
      <w:tr w14:paraId="7B302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19EA5D1D"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 w14:paraId="3FBE5750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20/02/2025</w:t>
            </w:r>
          </w:p>
        </w:tc>
        <w:tc>
          <w:tcPr>
            <w:tcW w:w="2552" w:type="dxa"/>
          </w:tcPr>
          <w:p w14:paraId="732327C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4.787.483,95</w:t>
            </w:r>
          </w:p>
        </w:tc>
      </w:tr>
      <w:tr w14:paraId="6663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2CE4414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  <w:vAlign w:val="top"/>
          </w:tcPr>
          <w:p w14:paraId="1B634F6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20/03/2025</w:t>
            </w:r>
          </w:p>
        </w:tc>
        <w:tc>
          <w:tcPr>
            <w:tcW w:w="2552" w:type="dxa"/>
            <w:vAlign w:val="top"/>
          </w:tcPr>
          <w:p w14:paraId="5C0F2B3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5.114.406,29</w:t>
            </w:r>
          </w:p>
        </w:tc>
      </w:tr>
      <w:tr w14:paraId="2294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494A1CCD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  <w:vAlign w:val="top"/>
          </w:tcPr>
          <w:p w14:paraId="384607D3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17/04/2025</w:t>
            </w:r>
          </w:p>
        </w:tc>
        <w:tc>
          <w:tcPr>
            <w:tcW w:w="2552" w:type="dxa"/>
            <w:vAlign w:val="top"/>
          </w:tcPr>
          <w:p w14:paraId="075FD7A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5.447.099,00</w:t>
            </w:r>
          </w:p>
        </w:tc>
      </w:tr>
      <w:tr w14:paraId="6EA8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171785E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  <w:vAlign w:val="top"/>
          </w:tcPr>
          <w:p w14:paraId="352FF22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20/05/2025</w:t>
            </w:r>
          </w:p>
        </w:tc>
        <w:tc>
          <w:tcPr>
            <w:tcW w:w="2552" w:type="dxa"/>
            <w:vAlign w:val="top"/>
          </w:tcPr>
          <w:p w14:paraId="7944D09A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5.484.400,58</w:t>
            </w:r>
          </w:p>
        </w:tc>
      </w:tr>
      <w:tr w14:paraId="499C7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3F51045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  <w:vAlign w:val="top"/>
          </w:tcPr>
          <w:p w14:paraId="717D537F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20/06/2025</w:t>
            </w:r>
          </w:p>
        </w:tc>
        <w:tc>
          <w:tcPr>
            <w:tcW w:w="2552" w:type="dxa"/>
            <w:vAlign w:val="top"/>
          </w:tcPr>
          <w:p w14:paraId="74D7A10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5.489.728,40</w:t>
            </w:r>
          </w:p>
        </w:tc>
      </w:tr>
      <w:tr w14:paraId="4A83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775BB90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  <w:vAlign w:val="top"/>
          </w:tcPr>
          <w:p w14:paraId="0AEA4BC9">
            <w:pPr>
              <w:pStyle w:val="1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18/07/2025</w:t>
            </w:r>
          </w:p>
        </w:tc>
        <w:tc>
          <w:tcPr>
            <w:tcW w:w="2552" w:type="dxa"/>
            <w:vAlign w:val="top"/>
          </w:tcPr>
          <w:p w14:paraId="53B39C9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cs="Times New Roman"/>
                <w:sz w:val="22"/>
                <w:szCs w:val="22"/>
                <w:lang w:val="pt-BR"/>
              </w:rPr>
              <w:t>5.545.492,97</w:t>
            </w:r>
          </w:p>
        </w:tc>
      </w:tr>
      <w:tr w14:paraId="43D39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264ACC8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  <w:vAlign w:val="top"/>
          </w:tcPr>
          <w:p w14:paraId="2C17C944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17EE34A0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3DAA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46F32A8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  <w:vAlign w:val="top"/>
          </w:tcPr>
          <w:p w14:paraId="111ACCD6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7A9EA2F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0DC8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3F94312B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  <w:vAlign w:val="top"/>
          </w:tcPr>
          <w:p w14:paraId="44BDEAB8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01575D31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BA5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226D57AA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  <w:vAlign w:val="top"/>
          </w:tcPr>
          <w:p w14:paraId="504123DB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4989308C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5AEC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1E13D55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  <w:vAlign w:val="top"/>
          </w:tcPr>
          <w:p w14:paraId="47E273B5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25B61F92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C710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4116285E"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  <w:vAlign w:val="top"/>
          </w:tcPr>
          <w:p w14:paraId="0C50EFC6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5339E10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</w:tbl>
    <w:p w14:paraId="60B64C5F">
      <w:pPr>
        <w:pStyle w:val="5"/>
        <w:rPr>
          <w:sz w:val="20"/>
        </w:rPr>
      </w:pPr>
    </w:p>
    <w:p w14:paraId="72AFD514">
      <w:pPr>
        <w:rPr>
          <w:b/>
        </w:rPr>
      </w:pPr>
    </w:p>
    <w:p w14:paraId="56BA2AD5">
      <w:pPr>
        <w:rPr>
          <w:b/>
        </w:rPr>
      </w:pPr>
    </w:p>
    <w:p w14:paraId="6610614B">
      <w:pPr>
        <w:jc w:val="center"/>
        <w:rPr>
          <w:b/>
        </w:rPr>
      </w:pPr>
    </w:p>
    <w:p w14:paraId="3D1CAB2B">
      <w:pPr>
        <w:jc w:val="center"/>
        <w:rPr>
          <w:b/>
        </w:rPr>
      </w:pPr>
      <w:r>
        <w:rPr>
          <w:b/>
        </w:rPr>
        <w:t>João Fernades de Britto</w:t>
      </w:r>
    </w:p>
    <w:p w14:paraId="2B052585">
      <w:pPr>
        <w:jc w:val="center"/>
      </w:pPr>
      <w:r>
        <w:t>Assessor Geral</w:t>
      </w:r>
    </w:p>
    <w:p w14:paraId="12C1B9D9">
      <w:pPr>
        <w:rPr>
          <w:b/>
        </w:rPr>
      </w:pPr>
    </w:p>
    <w:p w14:paraId="42552D02">
      <w:pPr>
        <w:rPr>
          <w:b/>
        </w:rPr>
      </w:pPr>
    </w:p>
    <w:p w14:paraId="2331E09B">
      <w:pPr>
        <w:rPr>
          <w:b/>
        </w:rPr>
      </w:pPr>
    </w:p>
    <w:p w14:paraId="09A665E5">
      <w:pPr>
        <w:rPr>
          <w:b/>
        </w:rPr>
      </w:pPr>
    </w:p>
    <w:p w14:paraId="44CC59D5">
      <w:pPr>
        <w:rPr>
          <w:b/>
        </w:rPr>
      </w:pPr>
    </w:p>
    <w:p w14:paraId="1AA5DE8E">
      <w:pPr>
        <w:rPr>
          <w:b/>
        </w:rPr>
      </w:pPr>
    </w:p>
    <w:p w14:paraId="2E91581F">
      <w:pPr>
        <w:rPr>
          <w:b/>
        </w:rPr>
      </w:pPr>
    </w:p>
    <w:p w14:paraId="7A750583">
      <w:pPr>
        <w:rPr>
          <w:b/>
        </w:rPr>
      </w:pPr>
    </w:p>
    <w:p w14:paraId="6DF5D1F3">
      <w:pPr>
        <w:rPr>
          <w:b/>
        </w:rPr>
      </w:pPr>
    </w:p>
    <w:p w14:paraId="5D57B2A0">
      <w:pPr>
        <w:rPr>
          <w:b/>
        </w:rPr>
      </w:pPr>
    </w:p>
    <w:p w14:paraId="06C26C5D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 w14:paraId="56F7DB80"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 w14:paraId="06978B0B"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039950EB"/>
    <w:rsid w:val="101C5E6B"/>
    <w:rsid w:val="182A5020"/>
    <w:rsid w:val="197406EB"/>
    <w:rsid w:val="1EF30CEA"/>
    <w:rsid w:val="1F6D16CF"/>
    <w:rsid w:val="21B65B94"/>
    <w:rsid w:val="25990BC5"/>
    <w:rsid w:val="288B1248"/>
    <w:rsid w:val="296730BB"/>
    <w:rsid w:val="2A8E7056"/>
    <w:rsid w:val="30A04ED5"/>
    <w:rsid w:val="331E6D05"/>
    <w:rsid w:val="355F6128"/>
    <w:rsid w:val="36121B49"/>
    <w:rsid w:val="362C1C1A"/>
    <w:rsid w:val="3E2F433D"/>
    <w:rsid w:val="3F6A0B31"/>
    <w:rsid w:val="40F8610E"/>
    <w:rsid w:val="41BE6FF6"/>
    <w:rsid w:val="456326BB"/>
    <w:rsid w:val="48E65170"/>
    <w:rsid w:val="49EA2300"/>
    <w:rsid w:val="4A171C32"/>
    <w:rsid w:val="4AE90830"/>
    <w:rsid w:val="4D534C24"/>
    <w:rsid w:val="4DFB1DD7"/>
    <w:rsid w:val="54391158"/>
    <w:rsid w:val="560231C7"/>
    <w:rsid w:val="571F6EE6"/>
    <w:rsid w:val="57CC1168"/>
    <w:rsid w:val="583513F0"/>
    <w:rsid w:val="5A815D9F"/>
    <w:rsid w:val="5FC330FC"/>
    <w:rsid w:val="6093596C"/>
    <w:rsid w:val="62AF0E95"/>
    <w:rsid w:val="67DB0F38"/>
    <w:rsid w:val="69E60021"/>
    <w:rsid w:val="6AD91580"/>
    <w:rsid w:val="6C033084"/>
    <w:rsid w:val="6C7D6516"/>
    <w:rsid w:val="6D8A2EF6"/>
    <w:rsid w:val="6E3603F3"/>
    <w:rsid w:val="70680CA9"/>
    <w:rsid w:val="777252DF"/>
    <w:rsid w:val="7A757415"/>
    <w:rsid w:val="7B19748A"/>
    <w:rsid w:val="7C006520"/>
    <w:rsid w:val="7D8E6C62"/>
    <w:rsid w:val="7FE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autoRedefine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24"/>
      <w:szCs w:val="24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autoRedefine/>
    <w:qFormat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611</Characters>
  <Lines>4</Lines>
  <Paragraphs>1</Paragraphs>
  <TotalTime>47</TotalTime>
  <ScaleCrop>false</ScaleCrop>
  <LinksUpToDate>false</LinksUpToDate>
  <CharactersWithSpaces>653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2025-07-21T13:22:23Z</cp:lastPrinted>
  <dcterms:modified xsi:type="dcterms:W3CDTF">2025-07-21T13:23:14Z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1046-12.2.0.21931</vt:lpwstr>
  </property>
  <property fmtid="{D5CDD505-2E9C-101B-9397-08002B2CF9AE}" pid="6" name="ICV">
    <vt:lpwstr>8D37B357020E48528051D70532B7A2FB_13</vt:lpwstr>
  </property>
</Properties>
</file>