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453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Dispõe sobre a R</w:t>
      </w:r>
      <w:bookmarkStart w:id="0" w:name="_GoBack"/>
      <w:bookmarkEnd w:id="0"/>
      <w:r>
        <w:rPr>
          <w:rFonts w:ascii="Times New Roman" w:hAnsi="Times New Roman"/>
          <w:sz w:val="27"/>
          <w:szCs w:val="27"/>
        </w:rPr>
        <w:t>evisão Geral Anual dos vencimentos dos servidores do Poder Legislativo e remuneração dos cargos em comissão, funções gratificadas e dá outras providências.</w:t>
      </w:r>
    </w:p>
    <w:p>
      <w:pPr>
        <w:rPr>
          <w:sz w:val="27"/>
          <w:szCs w:val="27"/>
        </w:rPr>
      </w:pPr>
    </w:p>
    <w:p>
      <w:pPr>
        <w:ind w:firstLine="1418"/>
        <w:jc w:val="both"/>
        <w:rPr>
          <w:sz w:val="28"/>
          <w:szCs w:val="28"/>
        </w:rPr>
      </w:pPr>
      <w:r>
        <w:rPr>
          <w:b/>
          <w:sz w:val="28"/>
          <w:szCs w:val="28"/>
        </w:rPr>
        <w:t>O PRESIDENTE DA CÂMARA MUNICIPAL DE ARACAJU</w:t>
      </w:r>
      <w:r>
        <w:rPr>
          <w:sz w:val="28"/>
          <w:szCs w:val="28"/>
        </w:rPr>
        <w:t>:</w:t>
      </w:r>
    </w:p>
    <w:p>
      <w:pPr>
        <w:jc w:val="both"/>
        <w:rPr>
          <w:sz w:val="28"/>
          <w:szCs w:val="28"/>
        </w:rPr>
      </w:pPr>
    </w:p>
    <w:p>
      <w:pPr>
        <w:ind w:firstLine="141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Faço saber que, em conformidade com o que dispõem os parágrafos </w:t>
      </w:r>
      <w:r>
        <w:rPr>
          <w:rFonts w:hint="default"/>
          <w:sz w:val="27"/>
          <w:szCs w:val="27"/>
          <w:lang w:val="pt-BR"/>
        </w:rPr>
        <w:t>3</w:t>
      </w:r>
      <w:r>
        <w:rPr>
          <w:sz w:val="27"/>
          <w:szCs w:val="27"/>
        </w:rPr>
        <w:t>º e 6º do art. 109 da Lei Orgânica do Município, a Câmara de Vereadores aprovou, e eu promulgo a seguinte Lei Complementar:</w:t>
      </w:r>
    </w:p>
    <w:p/>
    <w:p>
      <w:pPr>
        <w:ind w:firstLine="1418"/>
        <w:jc w:val="both"/>
        <w:rPr>
          <w:sz w:val="27"/>
          <w:szCs w:val="27"/>
        </w:rPr>
      </w:pPr>
      <w:r>
        <w:rPr>
          <w:b/>
          <w:sz w:val="27"/>
          <w:szCs w:val="27"/>
        </w:rPr>
        <w:t>Art. 1º</w:t>
      </w:r>
      <w:r>
        <w:rPr>
          <w:sz w:val="27"/>
          <w:szCs w:val="27"/>
        </w:rPr>
        <w:t xml:space="preserve"> Ficam revisados no percentual de 10,16% (dez vírgula dezesseis por cento), os valores da tabela de pessoal efetivo, comissionados e das funções gratificadas do Poder Legislativo Municipal, com vigência a partir de 1º de 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>março de 2022.</w:t>
      </w:r>
    </w:p>
    <w:p>
      <w:pPr>
        <w:jc w:val="both"/>
        <w:rPr>
          <w:sz w:val="27"/>
          <w:szCs w:val="27"/>
        </w:rPr>
      </w:pPr>
    </w:p>
    <w:p>
      <w:pPr>
        <w:ind w:firstLine="1440" w:firstLineChars="533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Parágrafo único. </w:t>
      </w:r>
      <w:r>
        <w:rPr>
          <w:sz w:val="27"/>
          <w:szCs w:val="27"/>
        </w:rPr>
        <w:t>Os valores atualizados são aqueles estabelecidos nos Anexos I, II, III e IV, os quais ficam fazendo parte integrante desta Lei Complementar.</w:t>
      </w:r>
    </w:p>
    <w:p>
      <w:pPr>
        <w:jc w:val="both"/>
        <w:rPr>
          <w:sz w:val="27"/>
          <w:szCs w:val="27"/>
        </w:rPr>
      </w:pPr>
    </w:p>
    <w:p>
      <w:pPr>
        <w:ind w:firstLine="1418"/>
        <w:jc w:val="both"/>
        <w:rPr>
          <w:sz w:val="27"/>
          <w:szCs w:val="27"/>
        </w:rPr>
      </w:pPr>
      <w:r>
        <w:rPr>
          <w:b/>
          <w:sz w:val="27"/>
          <w:szCs w:val="27"/>
        </w:rPr>
        <w:t>Art. 2º</w:t>
      </w:r>
      <w:r>
        <w:rPr>
          <w:sz w:val="27"/>
          <w:szCs w:val="27"/>
        </w:rPr>
        <w:t xml:space="preserve"> Ficam igualmente revisados no percentual de 10,16% (dez vírgula dezesseis por cento), os proventos dos aposentados do quadro de pessoal do Poder Legislativo Municipal.</w:t>
      </w:r>
    </w:p>
    <w:p>
      <w:pPr>
        <w:ind w:firstLine="1418"/>
        <w:jc w:val="both"/>
        <w:rPr>
          <w:sz w:val="27"/>
          <w:szCs w:val="27"/>
        </w:rPr>
      </w:pPr>
    </w:p>
    <w:p>
      <w:pPr>
        <w:ind w:firstLine="1418"/>
        <w:jc w:val="both"/>
        <w:rPr>
          <w:sz w:val="27"/>
          <w:szCs w:val="27"/>
        </w:rPr>
      </w:pPr>
      <w:r>
        <w:rPr>
          <w:b/>
          <w:sz w:val="27"/>
          <w:szCs w:val="27"/>
        </w:rPr>
        <w:t>Art. 3º</w:t>
      </w:r>
      <w:r>
        <w:rPr>
          <w:sz w:val="27"/>
          <w:szCs w:val="27"/>
        </w:rPr>
        <w:t xml:space="preserve"> Para fins do artigo 88 da Lei Orgânica Municipal, todos os servidores do Poder Legislativo Municipal perceberão reajuste visando manter o seu poder aquisitivo, não permitindo vencimento inferior ao salário mínimo vigente no país.</w:t>
      </w:r>
    </w:p>
    <w:p>
      <w:pPr>
        <w:ind w:firstLine="1418"/>
        <w:jc w:val="both"/>
        <w:rPr>
          <w:sz w:val="27"/>
          <w:szCs w:val="27"/>
        </w:rPr>
      </w:pPr>
    </w:p>
    <w:p>
      <w:pPr>
        <w:ind w:firstLine="1418"/>
        <w:jc w:val="both"/>
        <w:rPr>
          <w:sz w:val="27"/>
          <w:szCs w:val="27"/>
        </w:rPr>
      </w:pPr>
      <w:r>
        <w:rPr>
          <w:b/>
          <w:sz w:val="27"/>
          <w:szCs w:val="27"/>
        </w:rPr>
        <w:t>Art. 4º</w:t>
      </w:r>
      <w:r>
        <w:rPr>
          <w:sz w:val="27"/>
          <w:szCs w:val="27"/>
        </w:rPr>
        <w:t xml:space="preserve"> As despesas decorrentes da implantação desta Lei correrão à conta de dotação própria do orçamento vigente da Câmara Municipal de Aracaju, suplementada se necessário. </w:t>
      </w:r>
    </w:p>
    <w:p>
      <w:pPr>
        <w:ind w:firstLine="1418"/>
        <w:jc w:val="both"/>
        <w:rPr>
          <w:b/>
          <w:sz w:val="27"/>
          <w:szCs w:val="27"/>
        </w:rPr>
      </w:pPr>
    </w:p>
    <w:p>
      <w:pPr>
        <w:ind w:firstLine="1418"/>
        <w:jc w:val="both"/>
        <w:rPr>
          <w:b/>
          <w:sz w:val="27"/>
          <w:szCs w:val="27"/>
        </w:rPr>
      </w:pPr>
    </w:p>
    <w:p>
      <w:pPr>
        <w:ind w:firstLine="1418"/>
        <w:jc w:val="both"/>
        <w:rPr>
          <w:sz w:val="27"/>
          <w:szCs w:val="27"/>
        </w:rPr>
      </w:pPr>
      <w:r>
        <w:rPr>
          <w:b/>
          <w:sz w:val="27"/>
          <w:szCs w:val="27"/>
        </w:rPr>
        <w:t>Art. 5º</w:t>
      </w:r>
      <w:r>
        <w:rPr>
          <w:sz w:val="27"/>
          <w:szCs w:val="27"/>
        </w:rPr>
        <w:t xml:space="preserve"> Esta Lei Complementar entra em vigor na data de sua publicação, com efeitos a partir de 1º de março de 2022.</w:t>
      </w:r>
    </w:p>
    <w:p>
      <w:pPr>
        <w:ind w:firstLine="1418"/>
        <w:jc w:val="both"/>
        <w:rPr>
          <w:sz w:val="27"/>
          <w:szCs w:val="27"/>
        </w:rPr>
      </w:pPr>
    </w:p>
    <w:p>
      <w:pPr>
        <w:autoSpaceDE w:val="0"/>
        <w:autoSpaceDN w:val="0"/>
        <w:adjustRightInd w:val="0"/>
        <w:ind w:left="-17" w:firstLine="1435"/>
        <w:jc w:val="both"/>
        <w:rPr>
          <w:rFonts w:eastAsia="Calibri"/>
          <w:sz w:val="27"/>
          <w:szCs w:val="27"/>
          <w:highlight w:val="white"/>
          <w:lang w:val="pt"/>
        </w:rPr>
      </w:pPr>
      <w:r>
        <w:rPr>
          <w:rFonts w:eastAsia="Calibri"/>
          <w:sz w:val="27"/>
          <w:szCs w:val="27"/>
          <w:highlight w:val="white"/>
          <w:lang w:val="pt"/>
        </w:rPr>
        <w:t xml:space="preserve">Palácio Graccho Cardoso, Aracaju, </w:t>
      </w:r>
      <w:r>
        <w:rPr>
          <w:rFonts w:hint="default" w:eastAsia="Calibri"/>
          <w:sz w:val="27"/>
          <w:szCs w:val="27"/>
          <w:highlight w:val="white"/>
          <w:lang w:val="pt-BR"/>
        </w:rPr>
        <w:t>1</w:t>
      </w:r>
      <w:r>
        <w:rPr>
          <w:rFonts w:eastAsia="Calibri"/>
          <w:sz w:val="27"/>
          <w:szCs w:val="27"/>
          <w:highlight w:val="white"/>
          <w:lang w:val="pt"/>
        </w:rPr>
        <w:t xml:space="preserve">4 de </w:t>
      </w:r>
      <w:r>
        <w:rPr>
          <w:rFonts w:hint="default" w:eastAsia="Calibri"/>
          <w:sz w:val="27"/>
          <w:szCs w:val="27"/>
          <w:highlight w:val="white"/>
          <w:lang w:val="pt-BR"/>
        </w:rPr>
        <w:t xml:space="preserve">março </w:t>
      </w:r>
      <w:r>
        <w:rPr>
          <w:rFonts w:eastAsia="Calibri"/>
          <w:sz w:val="27"/>
          <w:szCs w:val="27"/>
          <w:highlight w:val="white"/>
          <w:lang w:val="pt"/>
        </w:rPr>
        <w:t>de 202</w:t>
      </w:r>
      <w:r>
        <w:rPr>
          <w:rFonts w:hint="default" w:eastAsia="Calibri"/>
          <w:sz w:val="27"/>
          <w:szCs w:val="27"/>
          <w:highlight w:val="white"/>
          <w:lang w:val="pt-BR"/>
        </w:rPr>
        <w:t>2</w:t>
      </w:r>
      <w:r>
        <w:rPr>
          <w:rFonts w:eastAsia="Calibri"/>
          <w:sz w:val="27"/>
          <w:szCs w:val="27"/>
          <w:highlight w:val="white"/>
          <w:lang w:val="pt"/>
        </w:rPr>
        <w:t>.</w:t>
      </w:r>
    </w:p>
    <w:p>
      <w:pPr>
        <w:ind w:firstLine="1418"/>
        <w:jc w:val="both"/>
        <w:rPr>
          <w:sz w:val="27"/>
          <w:szCs w:val="27"/>
        </w:rPr>
      </w:pPr>
    </w:p>
    <w:p>
      <w:pPr>
        <w:ind w:firstLine="1418"/>
        <w:jc w:val="both"/>
        <w:rPr>
          <w:sz w:val="27"/>
          <w:szCs w:val="27"/>
        </w:rPr>
      </w:pPr>
    </w:p>
    <w:p>
      <w:pPr>
        <w:jc w:val="both"/>
        <w:rPr>
          <w:rFonts w:eastAsia="Arial Unicode MS"/>
          <w:b/>
          <w:bCs/>
          <w:sz w:val="28"/>
          <w:szCs w:val="27"/>
        </w:rPr>
      </w:pPr>
    </w:p>
    <w:p>
      <w:pPr>
        <w:keepNext/>
        <w:autoSpaceDN w:val="0"/>
        <w:jc w:val="center"/>
        <w:rPr>
          <w:rFonts w:hint="default" w:eastAsia="Arial Unicode MS"/>
          <w:b/>
          <w:bCs/>
          <w:sz w:val="27"/>
          <w:szCs w:val="27"/>
          <w:lang w:val="pt-BR"/>
        </w:rPr>
      </w:pPr>
      <w:r>
        <w:rPr>
          <w:rFonts w:eastAsia="Arial Unicode MS"/>
          <w:b/>
          <w:bCs/>
          <w:sz w:val="27"/>
          <w:szCs w:val="27"/>
        </w:rPr>
        <w:t>Josenito Vitale de Jesus</w:t>
      </w:r>
      <w:r>
        <w:rPr>
          <w:rFonts w:hint="default" w:eastAsia="Arial Unicode MS"/>
          <w:b/>
          <w:bCs/>
          <w:sz w:val="27"/>
          <w:szCs w:val="27"/>
          <w:lang w:val="pt-BR"/>
        </w:rPr>
        <w:t>,</w:t>
      </w:r>
    </w:p>
    <w:p>
      <w:pPr>
        <w:jc w:val="center"/>
        <w:rPr>
          <w:rFonts w:hint="default"/>
          <w:b/>
          <w:sz w:val="27"/>
          <w:szCs w:val="27"/>
          <w:lang w:val="en-US" w:eastAsia="pt-BR"/>
        </w:rPr>
      </w:pPr>
      <w:r>
        <w:rPr>
          <w:b/>
          <w:sz w:val="27"/>
          <w:szCs w:val="27"/>
          <w:lang w:eastAsia="pt-BR"/>
        </w:rPr>
        <w:t>Presidente</w:t>
      </w:r>
      <w:r>
        <w:rPr>
          <w:rFonts w:hint="default"/>
          <w:b/>
          <w:sz w:val="27"/>
          <w:szCs w:val="27"/>
          <w:lang w:val="en-US" w:eastAsia="pt-BR"/>
        </w:rPr>
        <w:t>.</w:t>
      </w:r>
    </w:p>
    <w:p>
      <w:pPr>
        <w:rPr>
          <w:b/>
          <w:sz w:val="27"/>
          <w:szCs w:val="27"/>
        </w:rPr>
      </w:pPr>
    </w:p>
    <w:p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Fabiano Luis de Almeida Oliveira</w:t>
      </w:r>
      <w:r>
        <w:rPr>
          <w:rFonts w:hint="default"/>
          <w:b/>
          <w:sz w:val="27"/>
          <w:szCs w:val="27"/>
          <w:lang w:val="pt-BR"/>
        </w:rPr>
        <w:t>,</w:t>
      </w:r>
      <w:r>
        <w:rPr>
          <w:b/>
          <w:sz w:val="27"/>
          <w:szCs w:val="27"/>
        </w:rPr>
        <w:t xml:space="preserve">          </w:t>
      </w:r>
      <w:r>
        <w:rPr>
          <w:rFonts w:hint="default"/>
          <w:b/>
          <w:sz w:val="27"/>
          <w:szCs w:val="27"/>
          <w:lang w:val="pt-BR"/>
        </w:rPr>
        <w:t xml:space="preserve">            </w:t>
      </w:r>
      <w:r>
        <w:rPr>
          <w:b/>
          <w:sz w:val="27"/>
          <w:szCs w:val="27"/>
        </w:rPr>
        <w:t>Byron Virgilio dos Santos Silva</w:t>
      </w:r>
      <w:r>
        <w:rPr>
          <w:rFonts w:hint="default"/>
          <w:b/>
          <w:sz w:val="27"/>
          <w:szCs w:val="27"/>
          <w:lang w:val="pt-BR"/>
        </w:rPr>
        <w:t>,</w:t>
      </w:r>
      <w:r>
        <w:rPr>
          <w:b/>
          <w:sz w:val="27"/>
          <w:szCs w:val="27"/>
        </w:rPr>
        <w:t xml:space="preserve">  </w:t>
      </w:r>
    </w:p>
    <w:p>
      <w:pPr>
        <w:tabs>
          <w:tab w:val="left" w:pos="5265"/>
        </w:tabs>
        <w:jc w:val="center"/>
      </w:pPr>
      <w:r>
        <w:rPr>
          <w:b/>
          <w:sz w:val="27"/>
          <w:szCs w:val="27"/>
          <w:lang w:val="zh-CN"/>
        </w:rPr>
        <w:t>1º Secretário</w:t>
      </w:r>
      <w:r>
        <w:rPr>
          <w:rFonts w:hint="default"/>
          <w:b/>
          <w:sz w:val="27"/>
          <w:szCs w:val="27"/>
          <w:lang w:val="pt-BR"/>
        </w:rPr>
        <w:t>.</w:t>
      </w:r>
      <w:r>
        <w:rPr>
          <w:b/>
          <w:sz w:val="27"/>
          <w:szCs w:val="27"/>
        </w:rPr>
        <w:t xml:space="preserve">                          </w:t>
      </w:r>
      <w:r>
        <w:rPr>
          <w:rFonts w:hint="default"/>
          <w:b/>
          <w:sz w:val="27"/>
          <w:szCs w:val="27"/>
          <w:lang w:val="pt-BR"/>
        </w:rPr>
        <w:t xml:space="preserve">                </w:t>
      </w:r>
      <w:r>
        <w:rPr>
          <w:b/>
          <w:sz w:val="27"/>
          <w:szCs w:val="27"/>
        </w:rPr>
        <w:t xml:space="preserve">                  </w:t>
      </w:r>
      <w:r>
        <w:rPr>
          <w:b/>
          <w:sz w:val="27"/>
          <w:szCs w:val="27"/>
          <w:lang w:val="zh-CN"/>
        </w:rPr>
        <w:t>2º Secretári</w:t>
      </w:r>
      <w:r>
        <w:rPr>
          <w:b/>
          <w:sz w:val="27"/>
          <w:szCs w:val="27"/>
        </w:rPr>
        <w:t>o</w:t>
      </w:r>
      <w:r>
        <w:rPr>
          <w:rFonts w:hint="default"/>
          <w:b/>
          <w:sz w:val="27"/>
          <w:szCs w:val="27"/>
          <w:lang w:val="pt-BR"/>
        </w:rPr>
        <w:t>.</w:t>
      </w:r>
      <w:r>
        <w:rPr>
          <w:b/>
          <w:sz w:val="27"/>
          <w:szCs w:val="27"/>
        </w:rPr>
        <w:t xml:space="preserve">  </w:t>
      </w:r>
    </w:p>
    <w:p>
      <w:pPr>
        <w:jc w:val="center"/>
        <w:rPr>
          <w:rFonts w:eastAsia="Arial Unicode MS"/>
          <w:b/>
          <w:bCs/>
          <w:sz w:val="28"/>
          <w:szCs w:val="27"/>
        </w:rPr>
      </w:pPr>
    </w:p>
    <w:p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>
      <w:pPr>
        <w:keepNext/>
        <w:autoSpaceDN w:val="0"/>
        <w:ind w:left="-1440" w:leftChars="-600" w:right="-528" w:rightChars="-220" w:firstLine="0" w:firstLineChars="0"/>
        <w:jc w:val="center"/>
        <w:rPr>
          <w:rFonts w:eastAsia="Arial Unicode MS"/>
          <w:b/>
          <w:bCs/>
          <w:sz w:val="28"/>
          <w:szCs w:val="27"/>
        </w:rPr>
      </w:pPr>
      <w:r>
        <w:rPr>
          <w:lang w:eastAsia="pt-BR"/>
        </w:rPr>
        <w:drawing>
          <wp:inline distT="0" distB="0" distL="0" distR="0">
            <wp:extent cx="7263130" cy="3477260"/>
            <wp:effectExtent l="0" t="0" r="13970" b="889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>
                      <a:picLocks noChangeAspect="1"/>
                    </pic:cNvPicPr>
                  </pic:nvPicPr>
                  <pic:blipFill>
                    <a:blip r:embed="rId6"/>
                    <a:srcRect l="5789" t="39692" r="7717" b="15862"/>
                    <a:stretch>
                      <a:fillRect/>
                    </a:stretch>
                  </pic:blipFill>
                  <pic:spPr>
                    <a:xfrm>
                      <a:off x="0" y="0"/>
                      <a:ext cx="7263130" cy="34772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>
      <w:pPr>
        <w:keepNext/>
        <w:autoSpaceDN w:val="0"/>
        <w:jc w:val="center"/>
      </w:pPr>
      <w:r>
        <w:rPr>
          <w:lang w:eastAsia="pt-BR"/>
        </w:rPr>
        <w:drawing>
          <wp:inline distT="0" distB="0" distL="0" distR="0">
            <wp:extent cx="4714875" cy="455866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7"/>
                    <a:srcRect l="29907" t="35661" r="30668" b="16691"/>
                    <a:stretch>
                      <a:fillRect/>
                    </a:stretch>
                  </pic:blipFill>
                  <pic:spPr>
                    <a:xfrm>
                      <a:off x="0" y="0"/>
                      <a:ext cx="4733467" cy="457677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  <w:r>
        <w:rPr>
          <w:lang w:eastAsia="pt-BR"/>
        </w:rPr>
        <w:drawing>
          <wp:inline distT="0" distB="0" distL="0" distR="0">
            <wp:extent cx="4562475" cy="3100070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/>
                    </pic:cNvPicPr>
                  </pic:nvPicPr>
                  <pic:blipFill>
                    <a:blip r:embed="rId8"/>
                    <a:srcRect l="29438" t="26668" r="31863" b="40463"/>
                    <a:stretch>
                      <a:fillRect/>
                    </a:stretch>
                  </pic:blipFill>
                  <pic:spPr>
                    <a:xfrm>
                      <a:off x="0" y="0"/>
                      <a:ext cx="4586469" cy="311644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  <w:r>
        <w:rPr>
          <w:lang w:eastAsia="pt-BR"/>
        </w:rPr>
        <w:drawing>
          <wp:inline distT="0" distB="0" distL="0" distR="0">
            <wp:extent cx="4385310" cy="52768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>
                      <a:picLocks noChangeAspect="1"/>
                    </pic:cNvPicPr>
                  </pic:nvPicPr>
                  <pic:blipFill>
                    <a:blip r:embed="rId9"/>
                    <a:srcRect l="28611" t="16952" r="30706" b="21858"/>
                    <a:stretch>
                      <a:fillRect/>
                    </a:stretch>
                  </pic:blipFill>
                  <pic:spPr>
                    <a:xfrm>
                      <a:off x="0" y="0"/>
                      <a:ext cx="4398510" cy="529251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center"/>
      </w:pPr>
    </w:p>
    <w:p>
      <w:pPr>
        <w:keepNext/>
        <w:autoSpaceDN w:val="0"/>
        <w:jc w:val="both"/>
      </w:pPr>
    </w:p>
    <w:sectPr>
      <w:headerReference r:id="rId3" w:type="default"/>
      <w:footerReference r:id="rId4" w:type="default"/>
      <w:pgSz w:w="11905" w:h="16837"/>
      <w:pgMar w:top="1701" w:right="1134" w:bottom="1134" w:left="1701" w:header="1134" w:footer="925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b/>
        <w:bCs/>
        <w:sz w:val="22"/>
      </w:rPr>
    </w:pPr>
    <w:r>
      <w:rPr>
        <w:b/>
        <w:bCs/>
        <w:sz w:val="22"/>
      </w:rPr>
      <w:t>Praça Olímpio Campos, 74 – Centro CEP. 49010-010 Fone (079) 2107-4800</w:t>
    </w:r>
  </w:p>
  <w:p>
    <w:pPr>
      <w:pStyle w:val="6"/>
      <w:jc w:val="center"/>
      <w:rPr>
        <w:b/>
        <w:bCs/>
      </w:rPr>
    </w:pPr>
    <w:r>
      <w:rPr>
        <w:rFonts w:hint="default"/>
        <w:b/>
        <w:bCs/>
        <w:sz w:val="22"/>
        <w:lang w:val="pt-BR"/>
      </w:rPr>
      <w:t xml:space="preserve">PLC n° 1/2022 </w:t>
    </w:r>
    <w:r>
      <w:rPr>
        <w:b/>
        <w:bCs/>
        <w:sz w:val="22"/>
      </w:rPr>
      <w:t>Autoria: Mesa Diretora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5"/>
      <w:jc w:val="center"/>
      <w:rPr>
        <w:b/>
      </w:rPr>
    </w:pPr>
    <w:r>
      <w:rPr>
        <w:b/>
      </w:rPr>
      <w:t>ESTADO DE SERGIPE</w:t>
    </w:r>
  </w:p>
  <w:p>
    <w:pPr>
      <w:pStyle w:val="5"/>
      <w:jc w:val="center"/>
      <w:rPr>
        <w:b/>
      </w:rPr>
    </w:pPr>
    <w:r>
      <w:rPr>
        <w:b/>
      </w:rPr>
      <w:t>CÂMARA MUNICIPAL DE ARACAJU</w:t>
    </w:r>
  </w:p>
  <w:p>
    <w:pPr>
      <w:pStyle w:val="5"/>
      <w:jc w:val="center"/>
      <w:rPr>
        <w:b/>
      </w:rPr>
    </w:pPr>
  </w:p>
  <w:p>
    <w:pPr>
      <w:jc w:val="center"/>
      <w:rPr>
        <w:rFonts w:hint="default"/>
        <w:b/>
        <w:sz w:val="28"/>
        <w:szCs w:val="28"/>
        <w:lang w:val="pt-BR"/>
      </w:rPr>
    </w:pPr>
    <w:r>
      <w:rPr>
        <w:b/>
        <w:sz w:val="28"/>
        <w:szCs w:val="28"/>
      </w:rPr>
      <w:t>LEI COMPLEMENTAR Nº 17</w:t>
    </w:r>
    <w:r>
      <w:rPr>
        <w:rFonts w:hint="default"/>
        <w:b/>
        <w:sz w:val="28"/>
        <w:szCs w:val="28"/>
        <w:lang w:val="pt-BR"/>
      </w:rPr>
      <w:t>5</w:t>
    </w:r>
  </w:p>
  <w:p>
    <w:pPr>
      <w:jc w:val="center"/>
      <w:rPr>
        <w:rFonts w:hint="default"/>
        <w:b/>
        <w:sz w:val="28"/>
        <w:szCs w:val="28"/>
        <w:lang w:val="pt-BR"/>
      </w:rPr>
    </w:pPr>
    <w:r>
      <w:rPr>
        <w:b/>
        <w:sz w:val="28"/>
        <w:szCs w:val="28"/>
      </w:rPr>
      <w:t xml:space="preserve">DE </w:t>
    </w:r>
    <w:r>
      <w:rPr>
        <w:rFonts w:hint="default"/>
        <w:b/>
        <w:sz w:val="28"/>
        <w:szCs w:val="28"/>
        <w:lang w:val="pt-BR"/>
      </w:rPr>
      <w:t>1</w:t>
    </w:r>
    <w:r>
      <w:rPr>
        <w:b/>
        <w:sz w:val="28"/>
        <w:szCs w:val="28"/>
      </w:rPr>
      <w:t xml:space="preserve">4 DE </w:t>
    </w:r>
    <w:r>
      <w:rPr>
        <w:rFonts w:hint="default"/>
        <w:b/>
        <w:sz w:val="28"/>
        <w:szCs w:val="28"/>
        <w:lang w:val="pt-BR"/>
      </w:rPr>
      <w:t xml:space="preserve">MARÇO </w:t>
    </w:r>
    <w:r>
      <w:rPr>
        <w:b/>
        <w:sz w:val="28"/>
        <w:szCs w:val="28"/>
      </w:rPr>
      <w:t>DE 20</w:t>
    </w:r>
    <w:r>
      <w:rPr>
        <w:rFonts w:hint="default"/>
        <w:b/>
        <w:sz w:val="28"/>
        <w:szCs w:val="28"/>
        <w:lang w:val="pt-BR"/>
      </w:rPr>
      <w:t>22</w:t>
    </w:r>
  </w:p>
  <w:p>
    <w:pPr>
      <w:pStyle w:val="5"/>
      <w:jc w:val="center"/>
    </w:pPr>
    <w:r>
      <w:rPr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162300" cy="503555"/>
              <wp:effectExtent l="0" t="5080" r="0" b="571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0" cy="5035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18"/>
                            </w:rPr>
                          </w:pPr>
                        </w:p>
                        <w:p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7pt;margin-top:54.4pt;height:39.65pt;width:249pt;z-index:-251657216;mso-width-relative:page;mso-height-relative:page;" fillcolor="#FFFFFF" filled="t" stroked="f" coordsize="21600,21600" o:gfxdata="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BtH53W&#10;AAAACwEAAA8AAAAAAAAAAQAgAAAAIgAAAGRycy9kb3ducmV2LnhtbFBLAQIUABQAAAAIAIdO4kCj&#10;5vNTIgIAAFAEAAAOAAAAAAAAAAEAIAAAACUBAABkcnMvZTJvRG9jLnhtbFBLBQYAAAAABgAGAFkB&#10;AAC5BQAAAAA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sz w:val="18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  <w: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drawingGridHorizontalSpacing w:val="11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87"/>
    <w:rsid w:val="000F5031"/>
    <w:rsid w:val="001948B4"/>
    <w:rsid w:val="004818A4"/>
    <w:rsid w:val="004D5B1E"/>
    <w:rsid w:val="00906DFB"/>
    <w:rsid w:val="009126B5"/>
    <w:rsid w:val="00B13687"/>
    <w:rsid w:val="00CD2913"/>
    <w:rsid w:val="00E1329D"/>
    <w:rsid w:val="00F9762E"/>
    <w:rsid w:val="49AA59A8"/>
    <w:rsid w:val="52BB73F6"/>
    <w:rsid w:val="6372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link w:val="10"/>
    <w:qFormat/>
    <w:uiPriority w:val="0"/>
    <w:pPr>
      <w:suppressAutoHyphens w:val="0"/>
      <w:jc w:val="center"/>
    </w:pPr>
    <w:rPr>
      <w:rFonts w:ascii="Arial" w:hAnsi="Arial"/>
      <w:b/>
      <w:szCs w:val="20"/>
      <w:lang w:eastAsia="pt-BR"/>
    </w:rPr>
  </w:style>
  <w:style w:type="paragraph" w:styleId="5">
    <w:name w:val="header"/>
    <w:basedOn w:val="1"/>
    <w:link w:val="8"/>
    <w:uiPriority w:val="0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6">
    <w:name w:val="footer"/>
    <w:basedOn w:val="1"/>
    <w:link w:val="9"/>
    <w:uiPriority w:val="0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7">
    <w:name w:val="Balloon Text"/>
    <w:basedOn w:val="1"/>
    <w:link w:val="11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8">
    <w:name w:val="Cabeçalho Char"/>
    <w:basedOn w:val="2"/>
    <w:link w:val="5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9">
    <w:name w:val="Rodapé Char"/>
    <w:basedOn w:val="2"/>
    <w:link w:val="6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0">
    <w:name w:val="Título Char"/>
    <w:basedOn w:val="2"/>
    <w:link w:val="4"/>
    <w:uiPriority w:val="0"/>
    <w:rPr>
      <w:rFonts w:ascii="Arial" w:hAnsi="Arial" w:eastAsia="Times New Roman" w:cs="Times New Roman"/>
      <w:b/>
      <w:sz w:val="24"/>
      <w:szCs w:val="20"/>
      <w:lang w:eastAsia="pt-BR"/>
    </w:rPr>
  </w:style>
  <w:style w:type="character" w:customStyle="1" w:styleId="11">
    <w:name w:val="Texto de balão Char"/>
    <w:basedOn w:val="2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242</Words>
  <Characters>1309</Characters>
  <Lines>10</Lines>
  <Paragraphs>3</Paragraphs>
  <TotalTime>5</TotalTime>
  <ScaleCrop>false</ScaleCrop>
  <LinksUpToDate>false</LinksUpToDate>
  <CharactersWithSpaces>1548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2021-07-14T22:48:00Z</dcterms:created>
  <dc:creator>Usuário</dc:creator>
  <cp:lastModifiedBy>akssilva</cp:lastModifiedBy>
  <cp:lastPrinted>2022-03-09T13:18:00Z</cp:lastPrinted>
  <dcterms:modified xsi:type="dcterms:W3CDTF">2022-03-09T13:20:06Z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1046-11.2.0.10426</vt:lpwstr>
  </property>
  <property fmtid="{D5CDD505-2E9C-101B-9397-08002B2CF9AE}" pid="3" name="ICV">
    <vt:lpwstr>30FE9C0B5D0445C9BC04212214B0169F</vt:lpwstr>
  </property>
</Properties>
</file>