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2</w:t>
      </w:r>
      <w:r>
        <w:rPr>
          <w:sz w:val="28"/>
          <w:szCs w:val="28"/>
        </w:rPr>
        <w:t>6</w:t>
      </w:r>
      <w:r>
        <w:rPr>
          <w:sz w:val="28"/>
          <w:szCs w:val="28"/>
        </w:rPr>
        <w:t>ª SESSÃO EXTRAORDINÁRIA – 14 DE MAIO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6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DIREI DO SENHOR: ELE É O MEU DEUS, O MEU REFÚGIO, A MINHA FORTALEZA, E NELE CONFIAREI.” (SALMOS 91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tbl>
      <w:tblPr>
        <w:tblW w:w="10425" w:type="dxa"/>
        <w:jc w:val="left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37"/>
        <w:gridCol w:w="5401"/>
        <w:gridCol w:w="1577"/>
        <w:gridCol w:w="1309"/>
      </w:tblGrid>
      <w:tr>
        <w:trPr/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pt-BR" w:eastAsia="ar-SA" w:bidi="ar-SA"/>
              </w:rPr>
              <w:t xml:space="preserve">SUBSTITUTIVO AO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pt-BR" w:eastAsia="ar-SA" w:bidi="ar-SA"/>
              </w:rPr>
              <w:t>P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pt-BR" w:eastAsia="ar-SA" w:bidi="ar-SA"/>
              </w:rPr>
              <w:t>ROJETO DE LEI</w:t>
              <w:br/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pt-BR" w:eastAsia="ar-SA" w:bidi="ar-SA"/>
              </w:rPr>
              <w:t>Nº 137/2026</w:t>
              <w:br/>
              <w:t>EM URGÊNCIA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0"/>
                <w:lang w:val="pt-BR" w:eastAsia="ar-SA" w:bidi="ar-SA"/>
              </w:rPr>
              <w:t xml:space="preserve"> </w:t>
            </w:r>
          </w:p>
        </w:tc>
        <w:tc>
          <w:tcPr>
            <w:tcW w:w="5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Bumpedfont15"/>
                <w:b/>
                <w:sz w:val="22"/>
              </w:rPr>
              <w:t>DISPÕE SOBRE O REAJUSTE DOS VENCIMENTOS BÁSICOS DOS SERVIDORES PÚBLICOS MUNICIPAIS OCUPANTES DOS CARGOS DE PROVIMENTO EFETIVO DE FISIOTERAPEUTA, FARMACÊUTICO, NUTRICIONISTA, PSICÓLOGO CLÍNICO, TERAPEUTA OCUPACIONAL E FONOAUDIÓLOGO, DA CATEGORIA OCUPACIONAL DA SAÚDE.</w:t>
            </w:r>
          </w:p>
          <w:p>
            <w:pPr>
              <w:pStyle w:val="Normal"/>
              <w:jc w:val="center"/>
              <w:rPr/>
            </w:pPr>
            <w:r>
              <w:rPr>
                <w:rStyle w:val="Bumpedfont15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PODER EXECUTIVO 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RF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5820596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57710218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LibreOffice/24.2.2.2$Windows_X86_64 LibreOffice_project/d56cc158d8a96260b836f100ef4b4ef25d6f1a01</Application>
  <AppVersion>15.0000</AppVersion>
  <Pages>2</Pages>
  <Words>199</Words>
  <Characters>1103</Characters>
  <CharactersWithSpaces>1446</CharactersWithSpaces>
  <Paragraphs>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2026-04-16T09:57:10Z</cp:lastPrinted>
  <dcterms:modified xsi:type="dcterms:W3CDTF">2026-05-20T08:55:57Z</dcterms:modified>
  <cp:revision>296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