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9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FEVEREIRO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TUDO O QUE SE TEM OUVIDO, O FIM É: TEME A DEUS, E GUARDA OS SEUS MANDAMENTOS; PORQUE ISTO É O DEVER DE TODO O HOMEM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(ECLESIASTES 12:13)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PARCIAL AO 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353/2025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PARCIAL AO PL Nº 353/2025, QUE DISPÕE SOBRE O PLANO PLURIANUAL – PPA DO MUNICÍPIO DE ARACAJU PARA O QUADRIÊNIO 2026-2029.</w:t>
            </w:r>
          </w:p>
          <w:p>
            <w:pPr>
              <w:pStyle w:val="Header"/>
              <w:jc w:val="both"/>
              <w:rPr>
                <w:sz w:val="10"/>
                <w:szCs w:val="10"/>
              </w:rPr>
            </w:pPr>
            <w:r>
              <w:rPr/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à Emenda 03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  <w:shd w:fill="FFFFFF" w:val="clear"/>
              </w:rPr>
            </w:pPr>
            <w:r>
              <w:rPr>
                <w:b/>
                <w:sz w:val="10"/>
                <w:szCs w:val="10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CIRCUITO ARACAJUANO DE CAVALGADAS E REGULAMENTA A REALIZAÇÃO DE CAVALGADAS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 RUA CEL. JOSÉ GENIVALDO COUTO A ATUAL RUA T, NO LOT. AQUARIUS II, NO BAIRRO ARUANA.</w:t>
            </w:r>
          </w:p>
          <w:p>
            <w:pPr>
              <w:pStyle w:val="Normal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OBRAS.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CAPUT DO ART. 1º DA LEI 5.049,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</w:p>
          <w:p>
            <w:pPr>
              <w:pStyle w:val="Normal"/>
              <w:jc w:val="center"/>
              <w:rPr>
                <w:b/>
                <w:sz w:val="10"/>
                <w:szCs w:val="10"/>
                <w:shd w:fill="FFFFFF" w:val="clear"/>
              </w:rPr>
            </w:pPr>
            <w:r>
              <w:rPr>
                <w:b/>
                <w:sz w:val="10"/>
                <w:szCs w:val="10"/>
                <w:shd w:fill="FFFFFF" w:val="clear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A PERMISSÃO DE MÚSICA AO VIVO EM ESTABELECIMENTOS COMERCIAIS.</w:t>
            </w:r>
          </w:p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OBRAS E SERVIÇOS PÚBLICOS.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OBRIGATORIEDADE DE INSTALAÇÃO DE SALAS DE APOIO À AMAMENTAÇÃO EM ÓRGÃOS PÚBLICOS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DO MUNICÍPIO DE ARACAJU, A LEI DA PRIMEIRA ESCUTA.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0841662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506456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LibreOffice/24.2.2.2$Windows_X86_64 LibreOffice_project/d56cc158d8a96260b836f100ef4b4ef25d6f1a01</Application>
  <AppVersion>15.0000</AppVersion>
  <Pages>3</Pages>
  <Words>496</Words>
  <Characters>2520</Characters>
  <CharactersWithSpaces>3104</CharactersWithSpaces>
  <Paragraphs>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2026-02-25T08:52:58Z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