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83</w:t>
      </w:r>
      <w:r>
        <w:rPr>
          <w:sz w:val="26"/>
          <w:szCs w:val="26"/>
        </w:rPr>
        <w:t>ª SESSÃO EXTRAORDINÁRIA 1</w:t>
      </w:r>
      <w:r>
        <w:rPr>
          <w:rFonts w:hint="default"/>
          <w:sz w:val="26"/>
          <w:szCs w:val="26"/>
          <w:lang w:val="pt-BR"/>
        </w:rPr>
        <w:t>8</w:t>
      </w:r>
      <w:r>
        <w:rPr>
          <w:sz w:val="26"/>
          <w:szCs w:val="26"/>
        </w:rPr>
        <w:t xml:space="preserve">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83</w:t>
      </w:r>
      <w:bookmarkStart w:id="0" w:name="_GoBack"/>
      <w:bookmarkEnd w:id="0"/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b w:val="0"/>
          <w:bCs/>
          <w:spacing w:val="2"/>
          <w:sz w:val="28"/>
          <w:szCs w:val="28"/>
          <w:shd w:val="clear" w:color="auto" w:fill="FFFFFF"/>
        </w:rPr>
        <w:t>E ASSIM A LEI É SANTA, E O MANDAMENTO SANTO, JUSTO E BOM</w:t>
      </w:r>
      <w:r>
        <w:rPr>
          <w:b w:val="0"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” (ROMANOS </w:t>
      </w:r>
      <w:r>
        <w:rPr>
          <w:rFonts w:hint="default"/>
          <w:bCs/>
          <w:sz w:val="28"/>
          <w:szCs w:val="28"/>
          <w:lang w:val="pt-BR"/>
        </w:rPr>
        <w:t>7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12</w:t>
      </w:r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22280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A4428">
            <w:pPr>
              <w:pStyle w:val="27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4E6506F3">
            <w:pPr>
              <w:pStyle w:val="27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308/2025</w:t>
            </w:r>
          </w:p>
          <w:p w14:paraId="2385123A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zh-CN" w:bidi="ar-SA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BCE443">
            <w:pPr>
              <w:tabs>
                <w:tab w:val="left" w:pos="3048"/>
              </w:tabs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AUTORIZA O PODER EXECUTIVO A CRIAR O PROGRAMA MUNICIPAL DE ESCOLAS CÍVICO-MILITARES NA CIDADE DE ARACAJU.</w:t>
            </w:r>
          </w:p>
          <w:p w14:paraId="245EF1B3">
            <w:pPr>
              <w:tabs>
                <w:tab w:val="left" w:pos="3048"/>
              </w:tabs>
              <w:jc w:val="center"/>
              <w:rPr>
                <w:b/>
              </w:rPr>
            </w:pPr>
          </w:p>
          <w:p w14:paraId="3E20E671">
            <w:pPr>
              <w:tabs>
                <w:tab w:val="left" w:pos="3048"/>
              </w:tabs>
              <w:jc w:val="center"/>
              <w:rPr>
                <w:rFonts w:ascii="Times New Roman" w:hAnsi="Times New Roman" w:eastAsia="Times New Roman" w:cs="Times New Roman"/>
                <w:b/>
                <w:shd w:val="clear" w:color="auto" w:fill="FFFFFF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03DE6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</w:rPr>
              <w:t>MOANA VALADARES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5FE3A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</w:t>
            </w:r>
          </w:p>
          <w:p w14:paraId="43210002">
            <w:pPr>
              <w:jc w:val="center"/>
              <w:rPr>
                <w:b/>
                <w:bCs/>
              </w:rPr>
            </w:pPr>
          </w:p>
          <w:p w14:paraId="4E436803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</w:tr>
      <w:tr w14:paraId="55ADC85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43FD38CC">
            <w:pPr>
              <w:pStyle w:val="27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14:paraId="06ABD00B">
            <w:pPr>
              <w:pStyle w:val="27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4/2025</w:t>
            </w:r>
          </w:p>
          <w:p w14:paraId="70484E5E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zh-CN" w:bidi="ar-SA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44B55">
            <w:pPr>
              <w:pStyle w:val="11"/>
              <w:spacing w:after="280"/>
              <w:jc w:val="both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ALTERA DISPOSITIVOS DA LEI COMPLEMENTAR Nº 194, DE 21 DE JUNHO DE 2023, MODIFICANDO A NOMENCLATURA DO TERMO GUARDA MUNICIPAL PARA POLÍCIA MUNICIPAL.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BD6EA5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</w:rPr>
              <w:t>LÚCIO FLÁVIO</w:t>
            </w:r>
          </w:p>
        </w:tc>
        <w:tc>
          <w:tcPr>
            <w:tcW w:w="0" w:type="auto"/>
            <w:shd w:val="clear"/>
            <w:vAlign w:val="top"/>
          </w:tcPr>
          <w:p w14:paraId="68179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2º</w:t>
            </w:r>
          </w:p>
          <w:p w14:paraId="6794D5FA">
            <w:pPr>
              <w:jc w:val="center"/>
              <w:rPr>
                <w:b/>
                <w:bCs/>
              </w:rPr>
            </w:pPr>
          </w:p>
          <w:p w14:paraId="61EB220D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</w:tr>
      <w:tr w14:paraId="3AC80DA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374F914C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097063D9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496/2025</w:t>
            </w:r>
          </w:p>
          <w:p w14:paraId="42FD163B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B8E4C7">
            <w:pPr>
              <w:jc w:val="both"/>
              <w:rPr>
                <w:rFonts w:eastAsia="CIDFont+F1"/>
                <w:b/>
                <w:bCs/>
              </w:rPr>
            </w:pPr>
            <w:r>
              <w:rPr>
                <w:b/>
                <w:shd w:val="clear" w:color="auto" w:fill="FFFFFF"/>
              </w:rPr>
              <w:t>INSTITUI A CONTRIBUIÇÃO PARA O CUSTEIO, EXPANSÃO E MELHORIA DOS SERVIÇOS DE ILUMINAÇÃO PÚBLICA E DE SISTEMAS DE MONITORAMENTO PARA SEGURANÇA E PRESERVAÇÃO DE LOGRADOUROS PÚBLICOS – COSIMP, NOS TERMOS DO ART. 149-A DA CONSTITUIÇÃO FEDERAL, COM A REDAÇÃO DADA PELA EMENDA CONSTITUCIONAL N.º 132, DE 20 DE DEZEMBRO DE 2023.</w:t>
            </w:r>
          </w:p>
          <w:p w14:paraId="6ED9C18E">
            <w:pPr>
              <w:rPr>
                <w:rFonts w:eastAsia="CIDFont+F1"/>
              </w:rPr>
            </w:pPr>
          </w:p>
          <w:p w14:paraId="431416D2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  <w:r>
              <w:rPr>
                <w:rFonts w:eastAsia="SimSun"/>
                <w:b/>
                <w:bCs/>
                <w:shd w:val="clear" w:color="auto" w:fill="FFFFFF"/>
                <w:lang w:eastAsia="en-US"/>
              </w:rPr>
              <w:t>COM EMENDAS FALTANDO PARECER DA COMISSÃO DE JUSTIÇA E REDAÇÃO E COMISSÃO DE OBRAS E SERVIÇOS PÚBLICOS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2ED1B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0" w:type="auto"/>
            <w:shd w:val="clear"/>
            <w:vAlign w:val="top"/>
          </w:tcPr>
          <w:p w14:paraId="712CE2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536A9A8C">
            <w:pPr>
              <w:jc w:val="center"/>
              <w:rPr>
                <w:b/>
                <w:bCs/>
                <w:sz w:val="22"/>
              </w:rPr>
            </w:pPr>
          </w:p>
          <w:p w14:paraId="46998C8C">
            <w:pPr>
              <w:jc w:val="center"/>
              <w:rPr>
                <w:b/>
                <w:bCs/>
                <w:sz w:val="22"/>
              </w:rPr>
            </w:pPr>
          </w:p>
          <w:p w14:paraId="2E25660C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340F4314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05FB28DB"/>
    <w:rsid w:val="17D462F8"/>
    <w:rsid w:val="1B996256"/>
    <w:rsid w:val="274625BD"/>
    <w:rsid w:val="2F7B4EE1"/>
    <w:rsid w:val="3DBE07DB"/>
    <w:rsid w:val="3FFA44D3"/>
    <w:rsid w:val="44472913"/>
    <w:rsid w:val="461E2519"/>
    <w:rsid w:val="46AD4D09"/>
    <w:rsid w:val="4A0F567A"/>
    <w:rsid w:val="57905303"/>
    <w:rsid w:val="658A71DE"/>
    <w:rsid w:val="6AD12B4E"/>
    <w:rsid w:val="70DA5631"/>
    <w:rsid w:val="74DE100D"/>
    <w:rsid w:val="760268A8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783</Characters>
  <Lines>30</Lines>
  <Paragraphs>8</Paragraphs>
  <TotalTime>0</TotalTime>
  <ScaleCrop>false</ScaleCrop>
  <LinksUpToDate>false</LinksUpToDate>
  <CharactersWithSpaces>1027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2026-01-06T14:34:47Z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8A1A759140EF46B3B78220AFC0468355_13</vt:lpwstr>
  </property>
  <property fmtid="{D5CDD505-2E9C-101B-9397-08002B2CF9AE}" pid="3" name="KSOProductBuildVer">
    <vt:lpwstr>1046-12.2.0.23196</vt:lpwstr>
  </property>
</Properties>
</file>