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2</w:t>
      </w:r>
      <w:r>
        <w:rPr>
          <w:sz w:val="26"/>
          <w:szCs w:val="26"/>
        </w:rPr>
        <w:t>ª SESSÃO EXTRAORDINÁRIA 09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SERVIREIS AO SENHOR VOSSO DEUS, E ELE ABENÇOARÁ O VOSSO PÃO E A VOSSA ÁGUA; E EU TIRAREI DO MEIO DE VÓS AS ENFERMIDADES.” (ÊXODO 23:25)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 xml:space="preserve">SUBSTITUTIVO AO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353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DISPÕE SOBRE O PLANO PLURIANUAL – PPA DO MUNICÍPIO DE ARACAJU PARA O QUADRIÊNIO 2026-2029.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pt-BR" w:eastAsia="en-US"/>
              </w:rPr>
              <w:t>COM EMENDAS FALTANDO PARECER DA COMISSÃO DE FINANÇAS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5200513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367688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LibreOffice/24.2.2.2$Windows_X86_64 LibreOffice_project/d56cc158d8a96260b836f100ef4b4ef25d6f1a01</Application>
  <AppVersion>15.0000</AppVersion>
  <Pages>1</Pages>
  <Words>201</Words>
  <Characters>1049</Characters>
  <CharactersWithSpaces>1383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2025-12-11T10:11:47Z</cp:lastPrinted>
  <dcterms:modified xsi:type="dcterms:W3CDTF">2025-12-11T10:14:21Z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