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4ª SESSÃO EXTRAORDINÁRIA – 27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“DE SORTE QUE TENHO GLÓRIA EM JESUS CRISTO NAS COISAS QUE PERTENCEM A DEUS.”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16:17)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Complementar nº 1/2025, </w:t>
      </w:r>
      <w:r>
        <w:rPr>
          <w:b w:val="false"/>
          <w:bCs w:val="false"/>
          <w:sz w:val="28"/>
          <w:szCs w:val="28"/>
        </w:rPr>
        <w:t>em regime de urgência, em 2ª votação, autoria Poder Executivo: DISPÕE SOBRE A TRANSFORMAÇÃO DA SECRETARIA MUNICIPAL DA ARTICULAÇÃO POLÍTICA E DAS RELAÇÕES INSTITUCIONAIS - SEAPRI EM SECRETARIA MUNICIPAL DA ARTICULAÇÃO, PARCERIAS E INVESTIMENTOS - SEMPI; DISPÕE SOBRE A CRIAÇÃO DA SECRETARIA MUNICIPAL DO RESPEITO ÀS POLÍTICAS PARA MULHERES - SERMULHER, DA SECRETARIA MUNICIPAL DA CULTURA - SEMCULT E DA SECRETARIA MUNICIPAL DA PESSOA COM DEFICIÊNCIA - SEMDEF; ALTERA, ACRESCENTA E REVOGA, EM DECORRÊNCIA, DISPOSITIVOS DA LEI COMPLEMENTAR Nº 119/2013, QUE DISPÕE SOBRE A ESTRUTURA ORGANIZACIONAL DA ADMINISTRAÇÃO PÚBLICA MUNICIPAL DO PODER EXECUTIVO (FALTANDO PARECER DA COMISSÃO DE JUSTIÇA E REDAÇÃO E COMISSÃO DE OBRAS, SERVIÇOS PÚBLICOS E ADMINISTRAÇÃO).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5859459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5041306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LibreOffice/24.2.2.2$Windows_X86_64 LibreOffice_project/d56cc158d8a96260b836f100ef4b4ef25d6f1a01</Application>
  <AppVersion>15.0000</AppVersion>
  <Pages>2</Pages>
  <Words>279</Words>
  <Characters>1522</Characters>
  <CharactersWithSpaces>1942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2025-03-31T09:43:39Z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