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10</w:t>
      </w:r>
      <w:r>
        <w:rPr>
          <w:sz w:val="28"/>
          <w:szCs w:val="28"/>
        </w:rPr>
        <w:t>1</w:t>
      </w:r>
      <w:r>
        <w:rPr>
          <w:sz w:val="28"/>
          <w:szCs w:val="28"/>
        </w:rPr>
        <w:t>ª SESSÃO ORDINÁRIA – 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DE NOVEMBRO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10</w:t>
      </w:r>
      <w:r>
        <w:rPr>
          <w:sz w:val="28"/>
        </w:rPr>
        <w:t>1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AO DEUS ÚNICO, SÁBIO, SEJA A GLÓRIA POR JESUS CRISTO PARA TODO O SEMPRE. AMÉM.” (ROMANOS 16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:27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1528" w:leader="none"/>
              </w:tabs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SENHORA ANA CAROLINA DE BARROS BOSCHESE.</w:t>
            </w:r>
          </w:p>
          <w:p>
            <w:pPr>
              <w:pStyle w:val="Normal"/>
              <w:tabs>
                <w:tab w:val="clear" w:pos="708"/>
                <w:tab w:val="left" w:pos="1528" w:leader="none"/>
              </w:tabs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Normal"/>
              <w:tabs>
                <w:tab w:val="clear" w:pos="708"/>
                <w:tab w:val="left" w:pos="1528" w:leader="none"/>
              </w:tabs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1528" w:leader="none"/>
              </w:tabs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PROFESSORA KARYNA BATISTA SPOSATO.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1528" w:leader="none"/>
              </w:tabs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BERTULINO JOSÉ LOPES DE MENEZES.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458/2025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rFonts w:cs="Times New Roman"/>
                <w:b/>
                <w:kern w:val="0"/>
                <w:szCs w:val="15"/>
                <w:shd w:fill="FFFFFF" w:val="clear"/>
                <w:lang w:bidi="ar-SA"/>
              </w:rPr>
              <w:t>REQUERIMENTO DE INFORMAÇÕES À SENHORA EMÍLIA CORR</w:t>
            </w:r>
            <w:r>
              <w:rPr>
                <w:rFonts w:cs="Times New Roman"/>
                <w:b/>
                <w:kern w:val="0"/>
                <w:szCs w:val="15"/>
                <w:shd w:fill="FFFFFF" w:val="clear"/>
                <w:lang w:bidi="ar-SA"/>
              </w:rPr>
              <w:t>Ê</w:t>
            </w:r>
            <w:r>
              <w:rPr>
                <w:rFonts w:cs="Times New Roman"/>
                <w:b/>
                <w:kern w:val="0"/>
                <w:szCs w:val="15"/>
                <w:shd w:fill="FFFFFF" w:val="clear"/>
                <w:lang w:bidi="ar-SA"/>
              </w:rPr>
              <w:t>A, PREFEITA DE ARACAJU, ACERCA DA REGULAMENTAÇÃO DA LEI MUNICIPAL Nº 2.295, DE 25 DE AGOSTO DE 1985, SOBRE O COMÉRCIO DE SUCATAS DE VEÍCULOS.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rStyle w:val="Bumpedfont15"/>
                <w:b/>
                <w:szCs w:val="24"/>
              </w:rPr>
            </w:pPr>
            <w:r>
              <w:rPr>
                <w:rFonts w:cs="Times New Roman"/>
                <w:b/>
                <w:kern w:val="0"/>
                <w:szCs w:val="24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461/2025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lang w:eastAsia="pt-B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REQUERIMENTO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À SECRETÁRIA MUNICIPAL DA SAÚDE, SENHORA DÉBORA LEITE, PARA QUE SEJA ENCAMINHADO À CÂMARA MUNICIPAL DE ARACAJU (CMA) ESTUDO DE IMPACTO PARA CONTRATAÇÃO </w:t>
            </w:r>
            <w:r>
              <w:rPr>
                <w:rFonts w:cs="Times New Roman"/>
                <w:b/>
                <w:kern w:val="0"/>
                <w:lang w:eastAsia="pt-BR" w:bidi="ar-SA"/>
              </w:rPr>
              <w:t>DA ORGANIZAÇÃO SOCIAL, DE ACORDO COM O EDITAL DE CREDENCIAMENTO SMS Nº 001/2025.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FFC000"/>
              </w:rPr>
            </w:pPr>
            <w:r>
              <w:rPr>
                <w:rFonts w:cs="Times New Roman"/>
                <w:b/>
                <w:color w:val="FFC000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99/2025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APELO AOS SENADORES DE SERGIPE PARA APOIO EM DEFESA DA PRESERVAÇÃO DA ZONA DE EXPANSÃO COMO PARTE INTEGRANTE DO TERRITÓRIO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APELO AOS DEPUTADOS FEDERAIS DE SERGIPE PARA APOIO EM DEFESA DA PRESERVAÇÃO DA ZONA DE EXPANSÃO COMO PARTE INTEGRANTE DO TERRITÓRIO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ÀS ATLETAS DA SELEÇÃO BRASILEIRA DE GINÁSTICA RÍTMICA, À TREINADORA CAMILA FEREZIN RESENDE E À ASSISTENTE TÉCNICA BRUNA AKAWANA MARTINS ROSA, PELA CONQUISTA INÉDITA E PELO EXEMPLO DE EXCELÊNCIA, DISCIPLINA E SUPERAÇÃO QUE REPRESENTAM PARA TODO O PAÍS.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RICARDO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AO DR. ANTÔNIO CLÁUDIO SANTOS DAS NEVES PELA SUA POSSE NA CADEIRA NÚMERO 18 DA SOMESE (SOCIEDADE MÉDICA DE SERGIPE).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 xml:space="preserve">MOÇÃO DE APLAUSOS À ATLETA MARIA TEREZA DE AZEVEDO PRADO PELAS CONQUISTAS NA COPA DIANA, </w:t>
            </w:r>
            <w:r>
              <w:rPr>
                <w:rFonts w:cs="Times New Roman"/>
                <w:b/>
                <w:kern w:val="0"/>
                <w:lang w:bidi="ar-SA"/>
              </w:rPr>
              <w:t>REALIZADA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NA BULGÁRIA EM 2025.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AO SENHOR MAURÍCIO MENESES DA SILVA, POR SUA ELEIÇÃO E POSSE COMO PRESIDENTE DA ASSOCIAÇÃO É DE SERGIPE, PARA O BIÊNIO 2025-2028.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APELO À SENHORA EMÍLIA CORR</w:t>
            </w:r>
            <w:r>
              <w:rPr>
                <w:rFonts w:cs="Times New Roman"/>
                <w:b/>
                <w:kern w:val="0"/>
                <w:lang w:bidi="ar-SA"/>
              </w:rPr>
              <w:t>Ê</w:t>
            </w:r>
            <w:r>
              <w:rPr>
                <w:rFonts w:cs="Times New Roman"/>
                <w:b/>
                <w:kern w:val="0"/>
                <w:lang w:bidi="ar-SA"/>
              </w:rPr>
              <w:t>A, PREFEITA DE ARACAJU, PARA QUE SEJA ENVIADO UM PROJETO DE LEI COMPLEMENTAR A ESTA CASA LEGISLATIVA, ALTERANDO A LEI COMPLEMENTAR Nº 153, DE 8 DE JUNHO DE 2016, ESTABELECENDO A POSSIBILIDADE DE EXTENSÃO DA LICENÇA-PATERNIDADE PARA OS SERVIDORES PÚBLICOS MUNICIPAIS PARA 20 DIAS, EM CONSONÂNCIA COM A LEGISLAÇÃO FEDERAL.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92D05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AO S</w:t>
            </w:r>
            <w:r>
              <w:rPr>
                <w:rFonts w:cs="Times New Roman"/>
                <w:b/>
                <w:kern w:val="0"/>
                <w:lang w:bidi="ar-SA"/>
              </w:rPr>
              <w:t>ENHOR</w:t>
            </w:r>
            <w:r>
              <w:rPr>
                <w:rFonts w:cs="Times New Roman"/>
                <w:b/>
                <w:kern w:val="0"/>
                <w:lang w:bidi="ar-SA"/>
              </w:rPr>
              <w:t xml:space="preserve"> ANDERSON BARBOSA MORAIS, PELO RECEBIMENTO DO PRÊMIO AMAERJ PATRÍCIA ACIOLI DE DIREITOS HUMANOS, NA CATEGORIA DE PRÁTICAS HUMANÍSTICAS, EM RECONHECIMENTO AO TRABALHO “QUE VEM DAS RUAS”, QUE RETRATA A REALIDADE DAS PESSOAS EM SITUAÇÃO DE RUA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APELO À CÂMARA DOS DEPUTADOS PARA QUE SEJA APROVADO, COM A URGÊNCIA QUE A MATÉRIA REQUER, O PROJETO DE LEI Nº 2.941-A/2019, QUE DISPÕE SOBRE A REGULAMENTAÇÃO DA PROFISSÃO DE EDUCADOR SOCIAL.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MOÇÃO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MOÇÃO DE APLAUSOS À UNIVERSIDADE FEDERAL DE SERGIPE (UFS), EM RAZÃO DA EXCELENTE POSIÇÃO ALCANÇADA PELA INSTITUIÇÃO NO RANKING ELABORADO PELA AD SCIENTIFIC INDEX 2025.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6871116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0155471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LibreOffice/24.2.2.2$Windows_X86_64 LibreOffice_project/d56cc158d8a96260b836f100ef4b4ef25d6f1a01</Application>
  <AppVersion>15.0000</AppVersion>
  <Pages>3</Pages>
  <Words>744</Words>
  <Characters>4009</Characters>
  <CharactersWithSpaces>4806</CharactersWithSpaces>
  <Paragraphs>119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2025-11-19T08:47:41Z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