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11ª SESSÃO EXTRAORDINÁRIA – 09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DE TUDO O QUE SE TEM OUVIDO, O FIM É: TEME A DEUS, E GUARDA OS SEUS MANDAMENTOS; PORQUE ISTO É O DEVER DE TODO O HOMEM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(ECLESIASTES 12</w:t>
      </w:r>
      <w:r>
        <w:rPr>
          <w:rStyle w:val="6"/>
          <w:b/>
          <w:color w:val="auto"/>
          <w:sz w:val="32"/>
          <w:szCs w:val="32"/>
        </w:rPr>
        <w:t>:13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2/2023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t>DISPÕE SOBRE A GESTÃO ESCOLAR DAS UNIDADES DE ENSINO DE EDUCAÇÃO INFANTIL E ENSINO FUNDAMENTAL EM TEMPO INTEGRAL NA REDE PÚBLICA MUNICIPAL DE ENSINO DE ARACAJU E INSTITUI O REGIME DE DEDICAÇÃO INTEGRAL DOS PROFISSIONAIS DO MAGISTÉRIO.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32/2023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O PROGRAMA DE TRANSFERÊNCIA DE RENDA “AUXÍLIO MUNICIPAL ESPECIAL – AME”.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33/2023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PROGRAMA PROVISÓRIO DE CUSTEIO EXTRA TARIFÁRIO DE GRATUIDADES NOS TRANSPORTES COLETIVOS URBANOS A PESSOA COM DEFICIÊNCIA E SEU ACOMPANHANTE. 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ALTERA O CAPUT DO ART. 2º DA LEI COMPLEMENTAR Nº 176, DE 28 DE ABRIL DE 2022, QUE DISPÕE SOBRE A REDUÇÃO, POR PRAZO DETERMNADO DA ALÍQUOTA DO ISSQN INCIDENTE SOBRE OS SERVIÇOS DE TRANSPORTE PÚBLICO MUNICIPAL.</w:t>
            </w:r>
          </w:p>
          <w:p>
            <w:pPr>
              <w:jc w:val="both"/>
              <w:rPr>
                <w:b/>
                <w:sz w:val="22"/>
                <w:szCs w:val="24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COM EMENDAS 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ACRESCENTA O § 2º AO ART. 121 DA LEI COMPLEMENTAR Nº 50, DE 28 DE DEZEMBRO DE 2001, QUE DISPÕE SOBRE O REGIME PRÓPRIO DE PREVIDÊNCIA SOCIAL DE ARACAJU.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34/2023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CONCEDE REMISSÃO DE DÉBITOS AO CONTRIBUINTE DO IMPOSTO SOBRE A PROPRIEDADE PREDIAL E TERRITORIAL URBANA – IPTU E SIMPLIFICA OS PROCEDIMENTOS ADMINISTRATIVOS CORRESPONDENTES.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COM EMENDA 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35/2023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ACRESCENTA E REVOGA DISPOSITIVOS DA LEI Nº 5.223, DE 05 DE JULHO DE 2019, QUE DISPÕE SOBRE A CONTRATAÇÃO DE PESSOAL POR TEMPO DETERMINADO PARA ATENDER A NECESSIDADE TEMPORÁRIA DE EXCEPCIONAL INTERESSE PÚBLICO, NOS TERMOS DO INCISO IX DO ARTIGO 37 DA CONSTITUIÇÃO FEDERAL.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36/2023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ALTERA A EMENTA, OS ARTIGOS 3º, 4º E 7º, E O ANEXO I DA LEI DA LEI Nº 5.373, DE 23 DE MARÇO DE 2021, QUE DELIMITA E CRIA NO MUNICÍPIO DE ARACAJU OS BAIRROS ROBALO, SÃO JOSÉ DOS NÁUFRAGOS, AREIA BRANCA, GAMELEIRA, MATAPUÃ E MOSQUEIRO.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37/2023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AUTORIZA O PODER EXECUTIVO MUNICIPAL A OUTORGAR, MEDIANTE CESSÃO DE USO NÃO ONEROSA, AO ESTADO DE SERGIPE, A ÁREA LOCALIZADA NO PARQUE INFANTIL DA ESCOLA MUNICIPAL DE ENSINO FUNDAMENTAL PAPA JOÃO PAULO II, PARA MODERNIZAÇÃO, REFORMA E AMPLIAÇÃO DO CENTRO EDUCACIONAL VITÓRIA DE SANTA MARIA.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  <w:bookmarkStart w:id="3" w:name="_GoBack"/>
            <w:bookmarkEnd w:id="3"/>
          </w:p>
        </w:tc>
      </w:tr>
    </w:tbl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FD0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8AE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27947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3DFD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E6919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22A0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516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49B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2FAF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984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34BD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2D2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E5"/>
    <w:rsid w:val="00A46AFD"/>
    <w:rsid w:val="00A51086"/>
    <w:rsid w:val="00A5163B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67C0F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86416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576A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126A"/>
    <w:rsid w:val="00B6227D"/>
    <w:rsid w:val="00B635BA"/>
    <w:rsid w:val="00B64727"/>
    <w:rsid w:val="00B674B4"/>
    <w:rsid w:val="00B717CF"/>
    <w:rsid w:val="00B71BD6"/>
    <w:rsid w:val="00B71CB1"/>
    <w:rsid w:val="00B71CEA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AE3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0E7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56F7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3E95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1279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80B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1F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140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ar-SA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3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4047-F4DF-4B0D-B56A-F280CB10F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491</Words>
  <Characters>2652</Characters>
  <Lines>22</Lines>
  <Paragraphs>6</Paragraphs>
  <TotalTime>3</TotalTime>
  <ScaleCrop>false</ScaleCrop>
  <LinksUpToDate>false</LinksUpToDate>
  <CharactersWithSpaces>3137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2023-02-28T19:06:00Z</dcterms:created>
  <dc:creator>Caio Rafael Santos Lima</dc:creator>
  <cp:lastModifiedBy>jpbbneto</cp:lastModifiedBy>
  <cp:lastPrinted>2020-05-05T19:46:00Z</cp:lastPrinted>
  <dcterms:modified xsi:type="dcterms:W3CDTF">2023-04-11T15:13:54Z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A153163DAC404C6789AEAE1EF63E5346</vt:lpwstr>
  </property>
</Properties>
</file>