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25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OUTUBRO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232/2022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a política de mobilidade sustentável e de incentivo ao uso de bicicleta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193/2022 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roíbe a oferta de embutidos; e/ou ultraprocessados na composição da merenda de escolas e creches da rede pública municipal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225/2022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 w:val="0"/>
                <w:sz w:val="23"/>
                <w:szCs w:val="23"/>
                <w:lang w:val="en-US" w:eastAsia="pt-BR"/>
              </w:rPr>
              <w:t>I</w:t>
            </w:r>
            <w:r>
              <w:rPr>
                <w:rFonts w:ascii="Times New Roman" w:hAnsi="Times New Roman" w:eastAsia="SimSun" w:cs="Times New Roman"/>
                <w:b/>
                <w:bCs w:val="0"/>
                <w:sz w:val="23"/>
                <w:szCs w:val="23"/>
                <w:lang w:eastAsia="pt-BR"/>
              </w:rPr>
              <w:t xml:space="preserve">nstitui o programa municipal de apoio aos catadores de materiais recicláveis no </w:t>
            </w:r>
            <w:r>
              <w:rPr>
                <w:rFonts w:hint="default" w:ascii="Times New Roman" w:hAnsi="Times New Roman" w:eastAsia="SimSun" w:cs="Times New Roman"/>
                <w:b/>
                <w:bCs w:val="0"/>
                <w:sz w:val="23"/>
                <w:szCs w:val="23"/>
                <w:lang w:val="en-US" w:eastAsia="pt-BR"/>
              </w:rPr>
              <w:t>M</w:t>
            </w:r>
            <w:r>
              <w:rPr>
                <w:rFonts w:ascii="Times New Roman" w:hAnsi="Times New Roman" w:eastAsia="SimSun" w:cs="Times New Roman"/>
                <w:b/>
                <w:bCs w:val="0"/>
                <w:sz w:val="23"/>
                <w:szCs w:val="23"/>
                <w:lang w:eastAsia="pt-BR"/>
              </w:rPr>
              <w:t xml:space="preserve">unicípio de </w:t>
            </w:r>
            <w:r>
              <w:rPr>
                <w:rFonts w:hint="default" w:ascii="Times New Roman" w:hAnsi="Times New Roman" w:eastAsia="SimSun" w:cs="Times New Roman"/>
                <w:b/>
                <w:bCs w:val="0"/>
                <w:sz w:val="23"/>
                <w:szCs w:val="23"/>
                <w:lang w:val="en-US" w:eastAsia="pt-BR"/>
              </w:rPr>
              <w:t>A</w:t>
            </w:r>
            <w:r>
              <w:rPr>
                <w:rFonts w:ascii="Times New Roman" w:hAnsi="Times New Roman" w:eastAsia="SimSun" w:cs="Times New Roman"/>
                <w:b/>
                <w:bCs w:val="0"/>
                <w:sz w:val="23"/>
                <w:szCs w:val="23"/>
                <w:lang w:eastAsia="pt-BR"/>
              </w:rPr>
              <w:t>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238/2022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 w:val="0"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 w:val="0"/>
                <w:sz w:val="23"/>
                <w:szCs w:val="23"/>
                <w:lang w:eastAsia="pt-BR"/>
              </w:rPr>
              <w:t>Dispõe sobre a inclusão de serviço especializado de educação física no programa de saúde da família,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 w:val="0"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Binho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283/2023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permissão de uso das faixas exclusivas e corredores de ônibus por veículos integrantes da frota de transporte público individual por táxi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284/2023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Reconhece o Grupo de Música Antiga Renantique como Patrimônio Cultural Material e Imaterial da Cidade de Aracaju, e estabelece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253/2023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proteção do idoso nos procedimentos de contratação de empréstimo consignado e de cartão de crédito consignado no Município de Aracaju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258/2023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obrigatoriedade dos estabelecimentos que comercializam produtos alimentícios disporem em local único, específico e com destaque, os produtos destinados aos indivíduos celíacos, diabéticos e com intolerância à lactose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274/2023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atuação de profissionais guarda-vidas na faixa litorânea do município de Aracaju/SE, intitulada “Lei Breno e Gustavo”.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286/2023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proibição, no âmbito do Município de Aracaju, do uso de recursos públicos para contratação de obras que desvalorizem e exponham as mulheres à situação de constrangimento, incentivem a violência de gênero, realizem apologia ao uso de drogas ilícitas, estimulem manifestações homofóbicas ou transfóbicas e promovam a discriminação racial.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Profº Bitencourt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296/2023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Política Municipal de Incentivo a Prática de Futebol Feminino.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Miltinho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298/2023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obrigatoriedade de afixação de placa informativa em obra pública municipal paralisada contendo, de forma resumida, a exposição dos motivos de interrupção,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299/2023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Reconhece o Chorinho do Inácio como patrimônio cultural de natureza imaterial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313/2023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Institui e inclui no calendário oficial de eventos do Município de Aracaju, o “junho preto – mês de conscientização sobre o melanoma/câncer de pele”.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Complementar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6/2023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Acrescenta parágrafo único ao art. 94 da lei nº. 1.547, de 20 de dezembro de 1989, e alterações posteriores, que institui o código tributário municipal e normas de procedimento administrativo fiscal,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219/2022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Denomina Rua Izabel Lima Dantas a atual rua J, localizada no bairro Aruana, loteamento Costa Verde II,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221/2022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Denomina Rua Anita Garibaldi a atual rua E, localizada no bairro Industrial,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69/2023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Denomina Rua César Augusto Resende Santos a atual Rua E, no Conjunto Duque de Caxias, no Bairro Industrial.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Fábio Meirele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311/2023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criação da Feira Gastronômica nas praças, nos parques e espaços públicos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266/2021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Institui no âmbito do município de Aracaju diretrizes do programa “Mulher viva”, destinado ao apoio às mulheres em situação de violência doméstica e familiar.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229/2022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Cria o programa de atenção às pessoas com transtorno de acumulação compulsiva de animais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Linda Brasil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248/2023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proibição do uso de grampo, metal ou ferro em embalagens de alimentação delivery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Zezinho do Bugio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330/2023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Denomina rua Mãe Nair, a atual rua c, no loteamento Jardim Santos Dumont, no bairro Santos Dumont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264/2023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Denomina Praça João Florentino Santos, o espaço público sem nome localizado no fundo da Paróquia Perpétuo Socorro nas imediações das R. Kelly Cristina Santana, R. Iara Cristina e R. G – Canal Almirante Tamandaré, Bairro Santos Dumont.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56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Estabelece diretrizes para a criação do programa centro de parto normal e casa de parto, para atendimento à pessoa grávida durante período gravídico puerperal,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Prof.ª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152/2023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Dispõe sobre a gratuidade no sistema de transporte coletivo de Aracaju para deslocamento ao exercício do voto, e dá outras providências.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Prof.ª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Pedido de Vistas Anderson de Tuca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154/2023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Dispõe sobre a criação de um programa municipal de implementação da educação para a igualdade de gênero nas escolas da rede municipal, de acordo com as diretrizes do currículo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Prof.ª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156/2023</w:t>
            </w:r>
            <w:bookmarkStart w:id="1" w:name="_GoBack"/>
            <w:bookmarkEnd w:id="1"/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dispõe sobre a implementação do programa “escola sem nazismo” no âmbito das escolas da rede municipal de acordo com as diretrizes do currículo do município de Aracaju.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Prof.ª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58/2023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Concede título de cidadania aracajuana ao Senhor Vitor Agnaldo de Menezes e dá outras providências.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59/2023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Concede Título de Cidadania aracajuana ao Senhor Walderi Monteiro da Silva Júnior e dá outras providências.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Elber Batalha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60/2023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Concede o Título de Cidadania Aracajuana a Senhora Adriana Batista da Silva e dá outras providências.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199/2023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Apelo ao Congresso Nacional em face da tentativa de legalização do aborto por meio da ADPF 442 – Arguição de Descumprimento de Preceito Fundamental - a fim de garantir as prerrogativas constitucionais e republicanas das competências do Poder Legislativo e de se evitar um possível ativismo judicial por parte do Supremo Tribunal Federal.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201/2023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 a nova diretoria da Federação Sergipana de Boxe, pelo trabalho incansável e dedicação nessa conquista e nova trajetória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</w:tbl>
    <w:p/>
    <w:p/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8524A"/>
    <w:rsid w:val="2DAE3E70"/>
    <w:rsid w:val="59194866"/>
    <w:rsid w:val="5948524A"/>
    <w:rsid w:val="6810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2023-10-24T10:57:00Z</dcterms:created>
  <dc:creator>ascfilho</dc:creator>
  <cp:lastModifiedBy>ascfilho</cp:lastModifiedBy>
  <dcterms:modified xsi:type="dcterms:W3CDTF">2023-10-25T14:49:51Z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AC554762C3134CFAB52994B0932EB0B9_11</vt:lpwstr>
  </property>
</Properties>
</file>