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SESSÃO NÃO DELIBERATIVA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Iran Barbosa (PSOL) ocupando a Primeira e a Segunda Secretarias. Presentes na abertura da sessão os Senhores Vereadores: Alex Melo (PRD), Camilo Daniel (PT), Elber Batalha (PSB), Fábio Meireles (PDT), Iran Barbosa (PSOL), Lúcio Flávio (PL), Miltinho Dantas (PSD), Pastor Diego (UNIÃO BRASIL), Professora Sônia Meire (PSOL), Ricardo Vasconcelos (PSD) e Selma França (PSD). No decorrer da sessão, foi registrada a presença dos Vereadores: Anderson de Tuca (UNIÃO BRASIL), José Américo dos Santos (Bigode do Santa Maria, PSD), Aldeilson Soares dos Santos (Binho, PODEMOS), Breno Garibalde (REDE), Isac (UNIÃO BRASIL), Joaquim da Janelinha (PDT), Levi Oliveira (PP), Maurício Maravilha (UNIÃO BRASIL), Moana Valadares (PL), Rodrigo Fontes (PSB), Sávio Neto de Vardo (PODEMOS), Sargento Byron Estrelas do Mar (MDB), Alexsandro da Conceição (Soneca, PSD) e Thannata da Equoterapia (MOBILIZA) (vinte e cinco). Ausente o Vereador: Vinicius Porto (PDT)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Requerimentos números 208/2025, 209/2025, 210/2025 e 211/2025, de autoria da Vereadora Professora Sônia Meire (PSOL); 212/2025, de autoria do Vereador Miltinho Dantas (PSD); e 213/2025, de autoria do Vereador Ricardo Vasconcelos (PSD). Indicações números 942/2025 e 1105 a 1107/2025, de autoria do Vereador Sávio Neto de Vardo (PODEMOS); 962 a 967/2025, de autoria do Vereador Camilo Daniel (PT); 970/2025, de autoria do Vereador Ricardo Vasconcelos (PSD); 1033/2025, 1049 a 1051/2025, 1099/2025 e 1110/2025, de autoria da Vereadora Selma França (PSD); 1071/2025, 1118 a 1128/2025 e 1131 a 1134/2025, de autoria do Vereador Iran Barbosa (PSOL); 1081 a 1085/2025 e 1144/2025, de autoria do Vereador Anderson de Tuca (UNIÃO BRASIL); 1086/2025 e 1130/2025, de autoria do Vereador Bigode do Santa Maria (PSD); 1087 a 1089/2025, de autoria do Vereador Alex Melo (PRD); 1093 a 1097/2025, de autoria do Vereador Maurício Maravilha (UNIÃO BRASIL); 1098/2025, 1100/2025, 1129/2025 e 1142/2025, de autoria do Vereador Levi Oliveira (PP); e 1101 a 1104/2025 e 1115 a 1117/2025, de autoria do Vereador Joaquim da Janelinha (PDT). </w:t>
      </w:r>
      <w:r w:rsidDel="00000000" w:rsidR="00000000" w:rsidRPr="00000000">
        <w:rPr>
          <w:rFonts w:ascii="Arial" w:cs="Arial" w:eastAsia="Arial" w:hAnsi="Arial"/>
          <w:b w:val="1"/>
          <w:i w:val="1"/>
          <w:rtl w:val="0"/>
        </w:rPr>
        <w:t xml:space="preserve">Em Tribuna Livre,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estudante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u w:val="single"/>
          <w:rtl w:val="0"/>
        </w:rPr>
        <w:t xml:space="preserve">Laura Elisa Bárbara de Santana Santos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apresentou projeto de lei, resultado de projeto de extensão da Universidade Tiradentes (UNIT), voltado ao combate à divulgação não autorizada da imagem de pessoas </w:t>
      </w:r>
      <w:r w:rsidDel="00000000" w:rsidR="00000000" w:rsidRPr="00000000">
        <w:rPr>
          <w:rFonts w:ascii="Arial" w:cs="Arial" w:eastAsia="Arial" w:hAnsi="Arial"/>
          <w:rtl w:val="0"/>
        </w:rPr>
        <w:t xml:space="preserve">falecidas, </w:t>
      </w:r>
      <w:r w:rsidDel="00000000" w:rsidR="00000000" w:rsidRPr="00000000">
        <w:rPr>
          <w:rFonts w:ascii="Arial" w:cs="Arial" w:eastAsia="Arial" w:hAnsi="Arial"/>
          <w:rtl w:val="0"/>
        </w:rPr>
        <w:t xml:space="preserve">feita</w:t>
      </w:r>
      <w:r w:rsidDel="00000000" w:rsidR="00000000" w:rsidRPr="00000000">
        <w:rPr>
          <w:rFonts w:ascii="Arial" w:cs="Arial" w:eastAsia="Arial" w:hAnsi="Arial"/>
          <w:rtl w:val="0"/>
        </w:rPr>
        <w:t xml:space="preserve"> por meio de postagens </w:t>
      </w:r>
      <w:r w:rsidDel="00000000" w:rsidR="00000000" w:rsidRPr="00000000">
        <w:rPr>
          <w:rFonts w:ascii="Arial" w:cs="Arial" w:eastAsia="Arial" w:hAnsi="Arial"/>
          <w:rtl w:val="0"/>
        </w:rPr>
        <w:t xml:space="preserve">em </w:t>
      </w:r>
      <w:r w:rsidDel="00000000" w:rsidR="00000000" w:rsidRPr="00000000">
        <w:rPr>
          <w:rFonts w:ascii="Arial" w:cs="Arial" w:eastAsia="Arial" w:hAnsi="Arial"/>
          <w:rtl w:val="0"/>
        </w:rPr>
        <w:t xml:space="preserve">redes sociais e sites. Asseverou o sofrimento causado às famílias pelo compartilhamento não autorizado </w:t>
      </w:r>
      <w:r w:rsidDel="00000000" w:rsidR="00000000" w:rsidRPr="00000000">
        <w:rPr>
          <w:rFonts w:ascii="Arial" w:cs="Arial" w:eastAsia="Arial" w:hAnsi="Arial"/>
          <w:rtl w:val="0"/>
        </w:rPr>
        <w:t xml:space="preserve">dessas</w:t>
      </w:r>
      <w:r w:rsidDel="00000000" w:rsidR="00000000" w:rsidRPr="00000000">
        <w:rPr>
          <w:rFonts w:ascii="Arial" w:cs="Arial" w:eastAsia="Arial" w:hAnsi="Arial"/>
          <w:rtl w:val="0"/>
        </w:rPr>
        <w:t xml:space="preserve"> imagens e mencionou os conceitos de direito à memória, ao esquecimento e à dignidade </w:t>
      </w:r>
      <w:r w:rsidDel="00000000" w:rsidR="00000000" w:rsidRPr="00000000">
        <w:rPr>
          <w:rFonts w:ascii="Arial" w:cs="Arial" w:eastAsia="Arial" w:hAnsi="Arial"/>
          <w:i w:val="1"/>
          <w:rtl w:val="0"/>
        </w:rPr>
        <w:t xml:space="preserve">post mortem</w:t>
      </w:r>
      <w:r w:rsidDel="00000000" w:rsidR="00000000" w:rsidRPr="00000000">
        <w:rPr>
          <w:rFonts w:ascii="Arial" w:cs="Arial" w:eastAsia="Arial" w:hAnsi="Arial"/>
          <w:rtl w:val="0"/>
        </w:rPr>
        <w:t xml:space="preserve">. Enfatizou a necessidade de campanhas educativas e de normas éticas em prol da civilidade, citando o caso recente em que uma mãe caiu do sétimo andar com o filho, e a cobertura do caso incluiu a divulgação de fotos nas redes sociais. O estudante </w:t>
      </w:r>
      <w:r w:rsidDel="00000000" w:rsidR="00000000" w:rsidRPr="00000000">
        <w:rPr>
          <w:rFonts w:ascii="Arial" w:cs="Arial" w:eastAsia="Arial" w:hAnsi="Arial"/>
          <w:u w:val="single"/>
          <w:rtl w:val="0"/>
        </w:rPr>
        <w:t xml:space="preserve">Arthur Carrilho</w:t>
      </w:r>
      <w:r w:rsidDel="00000000" w:rsidR="00000000" w:rsidRPr="00000000">
        <w:rPr>
          <w:rFonts w:ascii="Arial" w:cs="Arial" w:eastAsia="Arial" w:hAnsi="Arial"/>
          <w:rtl w:val="0"/>
        </w:rPr>
        <w:t xml:space="preserve"> apresentou imagem de homem falecido, veiculada por canal de notícias, e ressaltou que transformar a morte em espetáculo banaliza um luto que deveria ser respeitado. Salientou que a Vereadora Selma França (PSD) acolheu a iniciativa em um primeiro momento e defendeu a elaboração de uma norma em favor do respeito ao luto. Destacou, com base nos exemplos apresentados, a dor dos familiares ao verem as fotos de momentos trágicos amplamente divulgadas, ressaltando que essa prática fere diversos direitos individuais. Foram interpelados pelos Vereadores Sargento Byron Estrelas do Mar (MDB), Elber Batalha (PSB), Selma França (PSD), Professora Sônia Meire (PSOL) e Iran Barbosa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relembrou acontecimentos dos últimos quinze dias, período em que esteve licenciado em razão do nascimento de sua filha, destacando, entre eles, o fortalecimento da oposição nesta Casa. Falou sobre a privatização velada da Companhia de </w:t>
      </w:r>
      <w:r w:rsidDel="00000000" w:rsidR="00000000" w:rsidRPr="00000000">
        <w:rPr>
          <w:rFonts w:ascii="Arial" w:cs="Arial" w:eastAsia="Arial" w:hAnsi="Arial"/>
          <w:rtl w:val="0"/>
        </w:rPr>
        <w:t xml:space="preserve">Saneamento de Sergipe (DESO), considerada a empresa mais lucrativa do estado, alardeada como a salvação</w:t>
      </w:r>
      <w:r w:rsidDel="00000000" w:rsidR="00000000" w:rsidRPr="00000000">
        <w:rPr>
          <w:rFonts w:ascii="Arial" w:cs="Arial" w:eastAsia="Arial" w:hAnsi="Arial"/>
          <w:rtl w:val="0"/>
        </w:rPr>
        <w:t xml:space="preserve">. No entanto, afirmou que a realidade tem sido marcada por constantes interrupções no fornecimento de água em todo o estado, inclusive em diversos bairros da capital. Cobrou as melhorias nos serviços que foram amplamente divulgadas durante o processo de concessão e salientou que cobrará soluções diuturnamente.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fez apelo ao Ministério Público Federal de Sergipe (MP/SE) referente à determinação de exoneração de todos os contratados por meio dos Processos Seletivos Simplificados (PSS) já exauridos, cujos contratos foram mantidos por gestões anteriores. Afirmou que o modelo de PSS é um erro e </w:t>
      </w:r>
      <w:r w:rsidDel="00000000" w:rsidR="00000000" w:rsidRPr="00000000">
        <w:rPr>
          <w:rFonts w:ascii="Arial" w:cs="Arial" w:eastAsia="Arial" w:hAnsi="Arial"/>
          <w:rtl w:val="0"/>
        </w:rPr>
        <w:t xml:space="preserve">defendeu </w:t>
      </w:r>
      <w:r w:rsidDel="00000000" w:rsidR="00000000" w:rsidRPr="00000000">
        <w:rPr>
          <w:rFonts w:ascii="Arial" w:cs="Arial" w:eastAsia="Arial" w:hAnsi="Arial"/>
          <w:rtl w:val="0"/>
        </w:rPr>
        <w:t xml:space="preserve">a realização de concurso público como forma de garantir um vínculo efetivo e duradouro, assegurando a prestação de um serviço público de qualidade. Disse que a substituição de um PSS por outro é um equívoco, enfatizou que a gestão do Secretário Cláudio Mitidieri não tem relação com essa irregularidade e solicitou prazo para </w:t>
      </w:r>
      <w:r w:rsidDel="00000000" w:rsidR="00000000" w:rsidRPr="00000000">
        <w:rPr>
          <w:rFonts w:ascii="Arial" w:cs="Arial" w:eastAsia="Arial" w:hAnsi="Arial"/>
          <w:rtl w:val="0"/>
        </w:rPr>
        <w:t xml:space="preserve">que os contratados sejam substituídos </w:t>
      </w:r>
      <w:r w:rsidDel="00000000" w:rsidR="00000000" w:rsidRPr="00000000">
        <w:rPr>
          <w:rFonts w:ascii="Arial" w:cs="Arial" w:eastAsia="Arial" w:hAnsi="Arial"/>
          <w:rtl w:val="0"/>
        </w:rPr>
        <w:t xml:space="preserve">por servidores aprovados em concurso público. Destacou que a audiência agendada para ouvir o representante da Administração Estadual do Meio Ambiente (ADEMA) foi adiada em razão da contratação emergencial de nova prestadora para o serviço de coleta de lixo. Ressaltou, ainda, que essa é mais uma solução temporária, reforçando a necessidade de realização de uma licitação definitiva.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recorte da sessão de apresentação do primeiro quadrimestre  conduzida pela Secretária Municipal de Saúde, no qual a questiona sobre a falta de transporte destinado a pessoas com deficiência para o Centro Especializado em Reabilitação (CER II), suspenso desde o dia quatorze de maio, o que tem impossibilitado a assistência a essa parcela fragilizada da população. Apresentou, então,  vídeo das queixas de usuários do serviço sobre a falta de transporte e as dificuldades enfrentadas para obter atendimento e cobrou um posicionamento da Prefeitura de Aracaju.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manifestou preocupação com o serviço de coleta de lixo na capital, parabenizou a postura da direção da nova prestadora de serviços contratada e destacou que a empresa já está com servidores e veículos atuando pela cidade. Encerrou seu pronunciamento exaltando o Forró Caju, realizado no conjunto Augusto Franco, elogiando a organização e o êxito do evento para os moradores da localidade.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apresentou justificativa para sua ausência na sessão de amanhã, informando que já está protocolando o devido ofício junto à Mesa.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justificou a ausência do Vereador Vinicius Porto (PDT).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abordou o apoio prestado pelo Banese ao futebol sergipano, citando como exemplo o suporte dado à equipe feminina do Juventude de Estância e os resultados desse patrocínio nos recentes êxitos da equipe. Salientou que o Banese investiu cerca de três milhões de reais nos clubes de futebol do estado e destacou que essa parceria é extremamente relevante tanto para a instituição bancária quanto para o desenvolvimento do futebol sergipano. Noutro ponto, parabenizou o trabalho da Polícia Militar e enfatizou ter notado, inclusive em outros estados, o reconhecimento do trabalho realizado por essa instituição em favor da segurança pública do estado de Sergipe.</w:t>
      </w:r>
      <w:r w:rsidDel="00000000" w:rsidR="00000000" w:rsidRPr="00000000">
        <w:rPr>
          <w:rFonts w:ascii="Arial" w:cs="Arial" w:eastAsia="Arial" w:hAnsi="Arial"/>
          <w:b w:val="1"/>
          <w:i w:val="1"/>
          <w:rtl w:val="0"/>
        </w:rPr>
        <w:t xml:space="preserve"> I</w:t>
      </w:r>
      <w:r w:rsidDel="00000000" w:rsidR="00000000" w:rsidRPr="00000000">
        <w:rPr>
          <w:rFonts w:ascii="Arial" w:cs="Arial" w:eastAsia="Arial" w:hAnsi="Arial"/>
          <w:b w:val="1"/>
          <w:i w:val="1"/>
          <w:rtl w:val="0"/>
        </w:rPr>
        <w:t xml:space="preserve">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felicitou o Vereador Camilo Daniel pelo nascimento de sua filha e parabenizou o professor André Maurício e a professora Silvana Bretas, recentemente empossados como reitor e vice-reitora da Universidade Federal de Sergipe.  Relatou que recebeu denúncia de diversos locais de Aracaju que está com lixo acumulado e disse que constatou pessoalmente que esse problema é real. Declarou que publica imagens do acúmulo de lixo na internet pois deseja que essa questão seja solucionada. Comentou que ouviu o anúncio de mudança que a administração pretende realizar no serviço de coleta, mas ressaltou considerar improvável que essa mudança seja uma solução adequada. Afirmou que não torce contra o êxito do Poder Executivo, reconheceu o respeito com que tem sido tratado pelos secretários da atual gestão e reiterou seu desejo de ver o município prosperar. Declarou que, em outros mandatos,</w:t>
      </w:r>
      <w:r w:rsidDel="00000000" w:rsidR="00000000" w:rsidRPr="00000000">
        <w:rPr>
          <w:rFonts w:ascii="Arial" w:cs="Arial" w:eastAsia="Arial" w:hAnsi="Arial"/>
          <w:rtl w:val="0"/>
        </w:rPr>
        <w:t xml:space="preserve"> já foi vereador de situação</w:t>
      </w:r>
      <w:r w:rsidDel="00000000" w:rsidR="00000000" w:rsidRPr="00000000">
        <w:rPr>
          <w:rFonts w:ascii="Arial" w:cs="Arial" w:eastAsia="Arial" w:hAnsi="Arial"/>
          <w:rtl w:val="0"/>
        </w:rPr>
        <w:t xml:space="preserve">, mas que, mesmo assim, não deixava de cobrar as ações adequadas da gestão. Disse que os assistentes sociais exercem uma função muito complexa e, por isso, merecem maior valorização. Ressaltou, ainda, que infelizmente há editais em aberto que preveem uma remuneração de apenas um salário mínimo para esses profissionais.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exibiu vídeo de um mutirão de saúde que realizou no bairro Bugio, em parceria com alunos de Medicina da Universidade Tiradentes (UNIT), e ressaltou que foram realizados mais de oitocentos atendimentos durante o evento. Parabenizou o governador Fábio Mitidieri pelos investimentos efetuados no serviço de saúde, especialmente no Hospital João Alves, e apresentou imagens de um dos três tomógrafos que serão instalados nessa instituição. Informou que protocolou hoje uma moção de aplausos ao Grupamento Especial Tático de Motos (GETAM), em reconhecimento ao resgate de um senhor de idade que havia caído em um dos canais em Aracaju. Parabenizou a prefeita Emília Corrêa pelas mudanças implementadas no serviço de coleta de resíduos, destacando que a empresa Renova não tinha condições de prestar esse serviço adequadamente. Foi aparteado pelos Vereadores Sargento Byron Estrelas do Mar (MDB), Elber Batalha (PSB), Professora Sônia Meire (PSOL) e Fábio Meireles (PDT).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recebeu reclamações da população sobre o excesso de buracos nas ruas da cidade, bem como sobre vazamentos de água, que são de responsabilidade da empresa Iguá. Manifestou sua alegria ao saber a notícia que o cantor Netinho venceu a batalha contra o câncer. Concordou com a fala do Vereador Joaquim da Janelinha (PDT), que afirmou que, pela primeira vez, houve democratização das festas juninas, com festas espalhadas por diversos bairros de Aracaju. Parabenizou o secretário José Davi e a Guarda Municipal pelo trabalho exemplar no combate à extorsão praticada por alguns flanelinhas no município. Parabenizou a gestão municipal por agir corretamente ao contratar nova empresa para prestar o serviço de coleta de lixo, lembrando que Aracaju foi entregue à prefeita em meio a montanhas de lixo acumulado em dezembro do ano passado. Também parabenizou seu filho, João Guilherme, por ter completado dezoito anos de idade. Manifestou sua gratidão aos participantes da audiência pública sobre a Loteria Municipal e ressaltou que o plenário da Câmara ficou lotado de cidadãos. Agradeceu aos colegas que estiveram presentes, bem como às diversas entidades da sociedade civil que participaram da audiência. Ressaltou que essas entidades que estiveram presentes nesta Casa defenderam o projeto que aprova a Loteria Municipal. Declarou que o projeto não inclui, entre as loterias aprovadas, nenhuma informação que autorize a modalidade conhecida como “</w:t>
      </w:r>
      <w:r w:rsidDel="00000000" w:rsidR="00000000" w:rsidRPr="00000000">
        <w:rPr>
          <w:rFonts w:ascii="Arial" w:cs="Arial" w:eastAsia="Arial" w:hAnsi="Arial"/>
          <w:rtl w:val="0"/>
        </w:rPr>
        <w:t xml:space="preserve">Bet</w:t>
      </w:r>
      <w:r w:rsidDel="00000000" w:rsidR="00000000" w:rsidRPr="00000000">
        <w:rPr>
          <w:rFonts w:ascii="Arial" w:cs="Arial" w:eastAsia="Arial" w:hAnsi="Arial"/>
          <w:rtl w:val="0"/>
        </w:rPr>
        <w:t xml:space="preserve">”  ou outros tipos de cassinos online.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ressaltou a importância da audiência pública realizada para debater a criação de loterias municipais. Afirmou que, atualmente, existem cerca de onze milhões de brasileiros doentes, viciados em apostas. Declarou que, segundo estudos, as faixas de renda mais afetadas são as classes D e E, o que leva pessoas que já  possuem poucos recursos a perderem ainda mais dinheiro. Declarou que a economia vem sendo prejudicada pelo avanço das “Bets”, que tem destruído vidas e famílias, ressaltando que cada real gasto com apostas representa um real a menos no comércio local. Discordou do argumento de que o projeto é importante para a arrecadação de recursos pelo município, pois, segundo ele, existem outros meios de aumentar a arrecadação que não colocam a população em um estado de vulnerabilidade. Foi aparteado pelos Vereadores Alex Melo (PRD), Fábio Meireles (PDT), Thannata da Equoterapia (MOBILIZA), Lúcio Flávio (PL) e Elber Batalha (PSB).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onze de junho de dois mil e vinte e </w:t>
      </w:r>
      <w:r w:rsidDel="00000000" w:rsidR="00000000" w:rsidRPr="00000000">
        <w:rPr>
          <w:rFonts w:ascii="Arial" w:cs="Arial" w:eastAsia="Arial" w:hAnsi="Arial"/>
          <w:rtl w:val="0"/>
        </w:rPr>
        <w:t xml:space="preserve">cinco, na hora Regimental, e deu por encerrada a sessão às onze horas e quinze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