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2ª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AGOSTO DE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à Superintendência Municipal de Transporte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cinquenta e quatro minutos, o Senhor Presidente, Vereador Sargento Byron Estrelas do Mar (MDB), declarou aberta a Segunda Reunião Ordinária da Comissão Parlamentar de Inquérito criada pelo Requerimento número 120/2025 e instituída pelo Ato número 16/2025, destinada apurar fatos relacionados à Superintendência Municipal de Transporte e Trânsito de Aracaju.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Sargento Byron Estrelas do Mar (MDB), Pastor Diego (UNIÃO BRASIL) e Fábio Meireles (PDT).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 o Vereador Suplente: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Lúcio Flávio (PL).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Ausentes os Vereadores: </w:t>
      </w:r>
      <w:r w:rsidDel="00000000" w:rsidR="00000000" w:rsidRPr="00000000">
        <w:rPr>
          <w:rFonts w:ascii="Arial" w:cs="Arial" w:eastAsia="Arial" w:hAnsi="Arial"/>
          <w:rtl w:val="0"/>
        </w:rPr>
        <w:t xml:space="preserve">Sávio Neto de Vardo (PODEMOS), e Alexsandro da Conceição (Soneca, PSD).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Vereador relator, Pastor Diego (UNIÃO BRASIL), fez a leitura do Requerimento número 7/2025, de autoria do vereador Sávio Neto de Vardo (PODEMOS).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7/2025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autoria do vereador Sávio Neto de Vardo (PODEMOS), foi discutido pelos Vereadores Pastor Diego (UNIÃO BRASIL) e Fábio Meireles (PDT), e foi aprovado em votação única. R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equerimento número 8/2025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autoria do vereador Sargento Byron Estrelas do Mar (MDB), foi discutido pelos vereadores Pastor Diego (UNIÃO BRASIL), Sargento Byron Estrelas do Mar (MDB), Lúcio Flávio (PL) e Fábio Meireles (PDT), e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9/2025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autoria do vereador Sargento Byron Estrelas do Mar (MDB), submetido à discussão, foi aprovado em votação única. E, nada mais havendo a tratar, o Senhor Presidente convocou nova reunião para primeiro de setembro de dois mil e vinte e cinco, às nove horas da manhã, e declarou encerrada a reunião às dez horas e trinta e seis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Palácio Graccho Cardoso, vinte e cinco 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4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