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35.99999999999994"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6ª REUNIÃO ORDINÁRIA</w:t>
      </w:r>
    </w:p>
    <w:p w:rsidR="00000000" w:rsidDel="00000000" w:rsidP="00000000" w:rsidRDefault="00000000" w:rsidRPr="00000000" w14:paraId="00000002">
      <w:pPr>
        <w:spacing w:line="335.99999999999994"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COMISSÃO PARLAMENTAR DE INQUÉRITO</w:t>
      </w: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03">
      <w:pPr>
        <w:spacing w:line="335.99999999999994"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4">
      <w:pPr>
        <w:spacing w:line="335.99999999999994"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7</w:t>
      </w:r>
      <w:r w:rsidDel="00000000" w:rsidR="00000000" w:rsidRPr="00000000">
        <w:rPr>
          <w:rFonts w:ascii="Arial" w:cs="Arial" w:eastAsia="Arial" w:hAnsi="Arial"/>
          <w:b w:val="1"/>
          <w:bCs w:val="1"/>
          <w:rtl w:val="0"/>
        </w:rPr>
        <w:t xml:space="preserve"> DE </w:t>
      </w:r>
      <w:r w:rsidDel="00000000" w:rsidR="00000000" w:rsidRPr="00000000">
        <w:rPr>
          <w:rFonts w:ascii="Arial" w:cs="Arial" w:eastAsia="Arial" w:hAnsi="Arial"/>
          <w:b w:val="1"/>
          <w:bCs w:val="1"/>
          <w:rtl w:val="0"/>
        </w:rPr>
        <w:t xml:space="preserve">OUTUBRO DE 2025</w:t>
      </w:r>
      <w:r w:rsidDel="00000000" w:rsidR="00000000" w:rsidRPr="00000000">
        <w:rPr>
          <w:rtl w:val="0"/>
        </w:rPr>
      </w:r>
    </w:p>
    <w:p w:rsidR="00000000" w:rsidDel="00000000" w:rsidP="00000000" w:rsidRDefault="00000000" w:rsidRPr="00000000" w14:paraId="00000005">
      <w:pPr>
        <w:spacing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35.99999999999994"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Comissão Parlamentar de Inquérito destinada a apurar fatos relacionados </w:t>
      </w:r>
      <w:r w:rsidDel="00000000" w:rsidR="00000000" w:rsidRPr="00000000">
        <w:rPr>
          <w:rFonts w:ascii="Arial" w:cs="Arial" w:eastAsia="Arial" w:hAnsi="Arial"/>
          <w:b w:val="1"/>
          <w:bCs w:val="1"/>
          <w:rtl w:val="0"/>
        </w:rPr>
        <w:t xml:space="preserve">ao Natal Iluminado 2024.</w:t>
      </w:r>
    </w:p>
    <w:p w:rsidR="00000000" w:rsidDel="00000000" w:rsidP="00000000" w:rsidRDefault="00000000" w:rsidRPr="00000000" w14:paraId="00000007">
      <w:pPr>
        <w:spacing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line="335.99999999999994"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treze horas, o Senhor Presidente, Vereador Isac (UNIÃO BRASIL), declarou aberta a sexta Reunião Ordinária da Comissão Parlamentar de Inquérito criada pelo Requerimento número 230/2025 e instituída pelo Ato número 15/2025, destinada apurar fatos relacionados ao Natal Iluminado 2024. </w:t>
      </w:r>
      <w:r w:rsidDel="00000000" w:rsidR="00000000" w:rsidRPr="00000000">
        <w:rPr>
          <w:rFonts w:ascii="Arial" w:cs="Arial" w:eastAsia="Arial" w:hAnsi="Arial"/>
          <w:b w:val="1"/>
          <w:bCs w:val="1"/>
          <w:rtl w:val="0"/>
        </w:rPr>
        <w:t xml:space="preserve">Presentes os membros: </w:t>
      </w:r>
      <w:r w:rsidDel="00000000" w:rsidR="00000000" w:rsidRPr="00000000">
        <w:rPr>
          <w:rFonts w:ascii="Arial" w:cs="Arial" w:eastAsia="Arial" w:hAnsi="Arial"/>
          <w:rtl w:val="0"/>
        </w:rPr>
        <w:t xml:space="preserve">Breno Garibalde (REDE), Isac (UNIÃO BRASIL), Elber Batalha (PSB), Thannata da Equoterapia (MOBILIZA) e Camilo Daniel (PT). </w:t>
      </w:r>
      <w:r w:rsidDel="00000000" w:rsidR="00000000" w:rsidRPr="00000000">
        <w:rPr>
          <w:rFonts w:ascii="Arial" w:cs="Arial" w:eastAsia="Arial" w:hAnsi="Arial"/>
          <w:b w:val="1"/>
          <w:bCs w:val="1"/>
          <w:rtl w:val="0"/>
        </w:rPr>
        <w:t xml:space="preserve">Ausentes os vereadores: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Miltinho Dantas (PSD) e Vinicius Porto (PDT).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reunião anterior, que foi aprovada sem restrições. </w:t>
      </w:r>
      <w:r w:rsidDel="00000000" w:rsidR="00000000" w:rsidRPr="00000000">
        <w:rPr>
          <w:rFonts w:ascii="Arial" w:cs="Arial" w:eastAsia="Arial" w:hAnsi="Arial"/>
          <w:b w:val="1"/>
          <w:bCs w:val="1"/>
          <w:rtl w:val="0"/>
        </w:rPr>
        <w:t xml:space="preserve">ORDEM DOS TRABALHOS</w:t>
      </w:r>
      <w:r w:rsidDel="00000000" w:rsidR="00000000" w:rsidRPr="00000000">
        <w:rPr>
          <w:rFonts w:ascii="Arial" w:cs="Arial" w:eastAsia="Arial" w:hAnsi="Arial"/>
          <w:rtl w:val="0"/>
        </w:rPr>
        <w:t xml:space="preserve">: O senhor presidente, vereador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declarou abertos os trabalhos, informando que a fase de requerimentos para solicitação de documentação foi superada, com a maioria dos documentos já entregues, à exceção de um cujo prazo ainda não se encerrou. Ele propôs que esta reunião se dedicasse a apresentar sugestões de nomes para depor na CPI, inicialmente como convidados. Ressaltou a necessidade de não estender excessivamente a lista de convocados para evitar a perda de foco e de tempo, e mencionou a possibilidade de acareações caso haja informações divergentes. Declarou que o objetivo é compreender as práticas e atitudes dos envolvidos na formulação do orçamento e execução do Natal Iluminado, que custou dez milhões de reais. Reiterou o encaminhamento da presidência para apresentar sugestões de nomes para depor como convocados na CPI, e que, em caso de recusa, a comissão decidirá sobre a forma de coagi-los. Sugeriu não alongar a lista de convocados para otimizar o tempo e que, após os depoimentos, novas convocações e acareações podem ser realizadas. Anunciou os primeiros nomes a serem convocados: Clóvis Trindade Silva (Diretor Administrativo e Financeiro da IRF), Vera Lúcia Santos Xavier (Gerente Financeira da GEF) e Taciane Silveira (Gerente de Contratação da GERCON), todos com responsabilidades específicas na justificativa técnica, projeto básico, fonte de custeio e comunicação com a empresa contratada.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questionou a metodologia da CPI, sugerindo que a avaliação fosse dividida em contratação e pagamentos, expressando preocupação com o tempo, já que a CPI tem prazo até cinco de dezembro. Ele argumentou que, se a comissão pretende convocar as pessoas em etapas, seria mais eficiente convocar todos os envolvidos na contratação e nos pagamentos de uma vez para dar celeridade aos trabalhos, a fim de evitar a percepção de uma investigação seletiva. O senhor presidente, vereador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reafirmou que a ideia inicial é convocar inicialmente as pessoas da antiga gestão e que as da gestão atual, se necessário, serão convocadas posteriormente. Defendeu que a presença dos convocados é obrigatória, mas que eles podem exercer o direito de permanecer em silêncio se estiverem respondendo a inquéritos. Porém, em resposta às sugestões, o vereador Isac aceitou adicionar à lista de convocados: Hugo </w:t>
      </w:r>
      <w:r w:rsidDel="00000000" w:rsidR="00000000" w:rsidRPr="00000000">
        <w:rPr>
          <w:rFonts w:ascii="Arial" w:cs="Arial" w:eastAsia="Arial" w:hAnsi="Arial"/>
          <w:rtl w:val="0"/>
        </w:rPr>
        <w:t xml:space="preserve">Esoj</w:t>
      </w:r>
      <w:r w:rsidDel="00000000" w:rsidR="00000000" w:rsidRPr="00000000">
        <w:rPr>
          <w:rFonts w:ascii="Arial" w:cs="Arial" w:eastAsia="Arial" w:hAnsi="Arial"/>
          <w:rtl w:val="0"/>
        </w:rPr>
        <w:t xml:space="preserve"> (atual presidente), Paulo Márcio (Controlador Geral do Município) e Fernanda Maria de Melo Carvalho (Chefe da Assessoria Técnica da PGM), e os novos fiscais do contrato. Ele mencionou a necessidade de convocar um representante da empresa contratada e José Augusto Carneiro, que hoje é diretor da Comissão Permanente de Licitação da Emsurb.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insistiu em sua sugestão, argumentando que a comissão deveria convocar de uma vez todos os nomes que a assessoria técnica indicasse como relevantes, tanto da gestão anterior quanto da atual, a fim de evitar a percepção de uma investigação seletiva. Ele salientou que há técnicos da Controladoria Geral do Município que emitiram pareceres importantes sobre a falta de pagamento das segundas parcelas, e que seria importante ouvi-los. O senhor presidente, vereador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acatou as sugestões para convocar Hugo </w:t>
      </w:r>
      <w:r w:rsidDel="00000000" w:rsidR="00000000" w:rsidRPr="00000000">
        <w:rPr>
          <w:rFonts w:ascii="Arial" w:cs="Arial" w:eastAsia="Arial" w:hAnsi="Arial"/>
          <w:rtl w:val="0"/>
        </w:rPr>
        <w:t xml:space="preserve">Esoj</w:t>
      </w:r>
      <w:r w:rsidDel="00000000" w:rsidR="00000000" w:rsidRPr="00000000">
        <w:rPr>
          <w:rFonts w:ascii="Arial" w:cs="Arial" w:eastAsia="Arial" w:hAnsi="Arial"/>
          <w:rtl w:val="0"/>
        </w:rPr>
        <w:t xml:space="preserve">, Paulo Márcio e Fernanda Maria de Melo Carvalho. Reiterou que as primeiras convocações se </w:t>
      </w:r>
      <w:r w:rsidDel="00000000" w:rsidR="00000000" w:rsidRPr="00000000">
        <w:rPr>
          <w:rFonts w:ascii="Arial" w:cs="Arial" w:eastAsia="Arial" w:hAnsi="Arial"/>
          <w:rtl w:val="0"/>
        </w:rPr>
        <w:t xml:space="preserve">concentrarão</w:t>
      </w:r>
      <w:r w:rsidDel="00000000" w:rsidR="00000000" w:rsidRPr="00000000">
        <w:rPr>
          <w:rFonts w:ascii="Arial" w:cs="Arial" w:eastAsia="Arial" w:hAnsi="Arial"/>
          <w:rtl w:val="0"/>
        </w:rPr>
        <w:t xml:space="preserve"> nas pessoas envolvidas na formulação da licitação e da dispensa. O Vereador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concordou com a convocação de todos os sujeitos técnicos envolvidos no processo de contratação, mas sugeriu que os envolvidos nos pagamentos fossem incorporados nas próximas chamadas. O senhor presidente, vereador </w:t>
      </w:r>
      <w:r w:rsidDel="00000000" w:rsidR="00000000" w:rsidRPr="00000000">
        <w:rPr>
          <w:rFonts w:ascii="Arial" w:cs="Arial" w:eastAsia="Arial" w:hAnsi="Arial"/>
          <w:u w:val="single"/>
          <w:rtl w:val="0"/>
        </w:rPr>
        <w:t xml:space="preserve">Isac (UNIÃO BRASIL)</w:t>
      </w:r>
      <w:r w:rsidDel="00000000" w:rsidR="00000000" w:rsidRPr="00000000">
        <w:rPr>
          <w:rFonts w:ascii="Arial" w:cs="Arial" w:eastAsia="Arial" w:hAnsi="Arial"/>
          <w:rtl w:val="0"/>
        </w:rPr>
        <w:t xml:space="preserve">, informou que as convocações serão a partir do dia vinte e um, considerando o prazo de quinze dias para os requerimentos que se encerram no dia dezessete, e que haverá reuniões nesse intervalo. Reconheceu a necessidade de conciliar as convocações com a agenda da Câmara e esclareceu que os convocados da área de licitação, dispensa e contrato poderiam vir em bloco para agilizar o processo. Apresentou uma lista de nomes para serem convocados como testemunhas: Cloves Trindade Silva (Diretor Administrativo e Financeiro), Vera Lúcia Santos Xavier (Gerente Financeira), Thaciana Silveira (Gerente de Contratações), Thiago Oliveira Freire (Procurador Jurídico), Flávio Augusto Araújo Cardoso (Procurador Jurídico), Mariana Silva do Espírito Santo (Chefe da Assessoria de Controle Interno), Victor Alves Porto (Fiscal do Contrato), Nélson Natan Xavier Rocha (Fiscal do Contrato), Bruno da Paixão Moraes Santos (ex-Presidente da EMSURB), Hugo Esoj (atual Presidente da EMSURB), Paulo Márcio Ramos Cruz (Controlador Geral do Município), Fernanda Maria de Melo Carvalho (Chefe da Assessoria Técnica da CGM), além dos fiscais do contrato e um representante da empresa. Após discussão, decidiu-se que Bruno Morais seria ouvido por último, após os demais envolvidos.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também solicitou a inclusão do Diretor Técnico da CGM, José Augusto Feitosa Magalhães Carneiro. O senhor Presidente, Vereador Isac (UNIÃO BRASIL) ressaltou que todos os nomes indicados serão convocados e, a partir de vinte e um de outubro, serão ouvidos. Aprovou-se por votação a convocação dos nomes apresentados com os acréscimos debatidos. </w:t>
      </w:r>
      <w:r w:rsidDel="00000000" w:rsidR="00000000" w:rsidRPr="00000000">
        <w:rPr>
          <w:rFonts w:ascii="Arial" w:cs="Arial" w:eastAsia="Arial" w:hAnsi="Arial"/>
          <w:rtl w:val="0"/>
        </w:rPr>
        <w:t xml:space="preserve">E, nada mais havendo a tratar, o Senhor Presidente convocou nova reunião para dia quatorze de outubro de dois mil e vinte e cinco às quatorze horas, e declarou encerrada a reunião às treze horas e vinte e três minutos. Para constar, lavrou-se esta Ata, o inteiro teor da reunião foi gravado, e as notas taquigráficas, após decodificadas, passarão a integrar este documento.</w:t>
      </w:r>
    </w:p>
    <w:p w:rsidR="00000000" w:rsidDel="00000000" w:rsidP="00000000" w:rsidRDefault="00000000" w:rsidRPr="00000000" w14:paraId="00000009">
      <w:pPr>
        <w:spacing w:line="335.99999999999994"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A">
      <w:pPr>
        <w:spacing w:line="335.99999999999994" w:lineRule="auto"/>
        <w:jc w:val="both"/>
        <w:rPr>
          <w:rFonts w:ascii="Arial" w:cs="Arial" w:eastAsia="Arial" w:hAnsi="Arial"/>
        </w:rPr>
      </w:pPr>
      <w:r w:rsidDel="00000000" w:rsidR="00000000" w:rsidRPr="00000000">
        <w:rPr>
          <w:rFonts w:ascii="Arial" w:cs="Arial" w:eastAsia="Arial" w:hAnsi="Arial"/>
          <w:rtl w:val="0"/>
        </w:rPr>
        <w:t xml:space="preserve">Palácio Graccho Cardoso, sete de outubro de dois mil e vinte e cinco.</w:t>
      </w:r>
    </w:p>
    <w:p w:rsidR="00000000" w:rsidDel="00000000" w:rsidP="00000000" w:rsidRDefault="00000000" w:rsidRPr="00000000" w14:paraId="0000000B">
      <w:pPr>
        <w:spacing w:line="335.99999999999994"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line="335.99999999999994" w:lineRule="auto"/>
        <w:rPr>
          <w:rFonts w:ascii="Arial" w:cs="Arial" w:eastAsia="Arial" w:hAnsi="Arial"/>
        </w:rPr>
      </w:pPr>
      <w:r w:rsidDel="00000000" w:rsidR="00000000" w:rsidRPr="00000000">
        <w:rPr>
          <w:rtl w:val="0"/>
        </w:rPr>
      </w:r>
    </w:p>
    <w:tbl>
      <w:tblPr>
        <w:tblStyle w:val="Table1"/>
        <w:tblW w:w="5850.0" w:type="dxa"/>
        <w:jc w:val="center"/>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5"/>
        <w:gridCol w:w="2925"/>
        <w:tblGridChange w:id="0">
          <w:tblGrid>
            <w:gridCol w:w="2925"/>
            <w:gridCol w:w="29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35.99999999999994"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35.99999999999994" w:lineRule="auto"/>
              <w:jc w:val="center"/>
              <w:rPr>
                <w:rFonts w:ascii="Arial" w:cs="Arial" w:eastAsia="Arial" w:hAnsi="Arial"/>
              </w:rPr>
            </w:pPr>
            <w:r w:rsidDel="00000000" w:rsidR="00000000" w:rsidRPr="00000000">
              <w:rPr>
                <w:rFonts w:ascii="Arial" w:cs="Arial" w:eastAsia="Arial" w:hAnsi="Arial"/>
                <w:rtl w:val="0"/>
              </w:rPr>
              <w:t xml:space="preserve">RELATOR</w:t>
            </w:r>
          </w:p>
        </w:tc>
      </w:tr>
    </w:tbl>
    <w:p w:rsidR="00000000" w:rsidDel="00000000" w:rsidP="00000000" w:rsidRDefault="00000000" w:rsidRPr="00000000" w14:paraId="0000000F">
      <w:pPr>
        <w:spacing w:line="335.99999999999994"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802415"/>
              <wp:effectExtent b="0" l="0" r="0" t="0"/>
              <wp:wrapNone/>
              <wp:docPr id="1" name=""/>
              <a:graphic>
                <a:graphicData uri="http://schemas.microsoft.com/office/word/2010/wordprocessingGroup">
                  <wpg:wgp>
                    <wpg:cNvGrpSpPr/>
                    <wpg:grpSpPr>
                      <a:xfrm>
                        <a:off x="3427175" y="2819000"/>
                        <a:ext cx="2713673" cy="1802415"/>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1d35"/>
                                  <w:sz w:val="28"/>
                                  <w:highlight w:val="white"/>
                                  <w:vertAlign w:val="baseline"/>
                                </w:rPr>
                                <w:t xml:space="preserve">Isac de Oliveira Silveira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32"/>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802415"/>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8024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