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57</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 </w:t>
      </w:r>
      <w:r w:rsidDel="00000000" w:rsidR="00000000" w:rsidRPr="00000000">
        <w:rPr>
          <w:rFonts w:ascii="Arial" w:cs="Arial" w:eastAsia="Arial" w:hAnsi="Arial"/>
          <w:b w:val="1"/>
          <w:rtl w:val="0"/>
        </w:rPr>
        <w:t xml:space="preserve">DE DEZEMBRO DE 2024</w:t>
      </w: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trinta e nove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Joaquim da Janelinha (PDT), Josenito Vitale de Jesus (Nitinho, PSD),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Doutor Manuel Marcos (PSD), com justificativa (um).</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Constam do expediente os Projetos de Lei Ordinária números 318/2024, de autoria do Vereador Fabiano Oliveira (PP), que altera o art. 1º da Lei número 3.168/2004, que denomina a Praça de Eventos Hilton Lopes, para renomeá-la como Praça Hilton Lopes, referente ao logradouro situado entre a Avenida Otoniel Dórea, Rua José do Prado Franco, Mercado de Artesanato Thales Ferraz e o Mercado Municipal Maria Virgínia Leite Franco, no Bairro Centro, nesta capital, e dá outras providências; 322/2024,  de autoria do Vereador Fabiano Oliveira (PP), denomina Rua Jehovah Batista de Souza a atual Rua D, localizada entre a Rua B e Rua E, Loteamento Parque Mar e Sol, Bairro Farolândia, no Município de Aracaju, e dá outras providências; 323/2024, também de autoria do Vereador Fabiano Oliveira (PP), denomina Avenida Raymundo Juliano Souto dos Santos a atual Avenida Canal Areia Branca, e dá providências correlatas; 324/2024, de autoria do Vereador Vinicius Porto (PDT), denomina Orla Governador João Alves Filho a atual Orla do Rio Sergipe, e dá providências correlatas; 325/2024, de autoria do Poder Executivo, altera o parágrafo único do artigo 2º da Lei número 5.827, de 04 de dezembro de 2023, que dispõe sobre o prazo de vigência da concessão de subsídio tarifário nos serviços públicos de transporte coletivo urbano de passageiros do Município de Aracaju, e dá providências correlatas; 326/2024, de autoria do Poder Executivo, altera o parágrafo único do artigo 1º da Lei número Lei no 5.826, de 04 de dezembro de 2023, que dispõe sobre o prazo de vigência do Programa Provisório de Custeio Extra Tarifário de Gratuidades nos Transportes Coletivos Urbanos às Pessoas com Deficiência e seu Acompanhante no Município de Aracaju, e dá providências correlatas. Projeto de Resolução número 20/2024, de autoria do Vereador Joaquim da Janelinha (PDT), acrescenta o parágrafo único ao artigo 197 da Resolução número 12, de 21 de dezembro de 2022, Regimento Interno da Câmara Municipal de Aracaju. Requerimentos números 410/2024, de autoria do Vereador Fabiano Oliveira (PP); 411/2024, de autoria do Vereador Vinicius Porto (PDT); 412/2024, 413/2024 e 414/2024, todos de autoria do Vereador Professor Bittencourt (PDT); e 415/2024, de autoria do Vereador Joaquim da Janelinha (PDT).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Joaquim da Janelinha (PDT), Josenito Vitale de Jesus (Nitinho, PSD),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Doutor Manuel Marcos (PSD), com justificativa (um).</w:t>
      </w:r>
      <w:r w:rsidDel="00000000" w:rsidR="00000000" w:rsidRPr="00000000">
        <w:rPr>
          <w:rFonts w:ascii="Arial" w:cs="Arial" w:eastAsia="Arial" w:hAnsi="Arial"/>
          <w:i w:val="1"/>
          <w:rtl w:val="0"/>
        </w:rPr>
        <w:t xml:space="preserve"> Pauta de hoje, onze de dezembro de dois mil e vinte e quatro.</w:t>
      </w:r>
      <w:r w:rsidDel="00000000" w:rsidR="00000000" w:rsidRPr="00000000">
        <w:rPr>
          <w:rFonts w:ascii="Arial" w:cs="Arial" w:eastAsia="Arial" w:hAnsi="Arial"/>
          <w:rtl w:val="0"/>
        </w:rPr>
        <w:t xml:space="preserve"> Receberam parecer favorável da Comissão de Finanças, Tomada de Contas e Orçamento, sob a relatoria do Vereador Breno Garibalde (REDE), as seguintes emendas ao </w:t>
      </w:r>
      <w:r w:rsidDel="00000000" w:rsidR="00000000" w:rsidRPr="00000000">
        <w:rPr>
          <w:rFonts w:ascii="Arial" w:cs="Arial" w:eastAsia="Arial" w:hAnsi="Arial"/>
          <w:u w:val="single"/>
          <w:rtl w:val="0"/>
        </w:rPr>
        <w:t xml:space="preserve">Projeto de Lei número 303/2024</w:t>
      </w:r>
      <w:r w:rsidDel="00000000" w:rsidR="00000000" w:rsidRPr="00000000">
        <w:rPr>
          <w:rFonts w:ascii="Arial" w:cs="Arial" w:eastAsia="Arial" w:hAnsi="Arial"/>
          <w:rtl w:val="0"/>
        </w:rPr>
        <w:t xml:space="preserve">, de autoria do Poder Executivo: 1, 3 e 4, de autoria da Comissão de Finanças; 20, 21, 22 e 23, de autoria da Vereadora Professora Sônia Meire (PSOL); e 58, de autoria do Vereador Ricardo Marques (CIDADANIA). Foram retiradas a requerimento dos respectivos autores as seguintes emendas: 5, 6, 7, 9, 10, e 11, todas de autoria do Vereador Ricardo Vasconcelos (PSD); 12, 13, 14, 15, de autoria do Vereador Isac (UNIÃO BRASIL); 16, 17, 18 e 19, de autoria do Vereador Breno Garibalde (REDE); 24, 25 e 26, de autoria do Vereador Eduardo Lima (REPUBLICANOS); 30 e 31, de autoria do Vereador Elber Batalha Filho (PSB); 55, de autoria do Vereador Anderson de Tuca (UNIÃO BRASIL); 59, de autoria do Vereador Professor Bittencourt (PDT); 60, 61, 62 e 63, de autoria do Vereador Pastor Diego (UNIÃO BRASIL); 27, </w:t>
      </w:r>
      <w:r w:rsidDel="00000000" w:rsidR="00000000" w:rsidRPr="00000000">
        <w:rPr>
          <w:rFonts w:ascii="Arial" w:cs="Arial" w:eastAsia="Arial" w:hAnsi="Arial"/>
          <w:rtl w:val="0"/>
        </w:rPr>
        <w:t xml:space="preserve">28, 29, 32, 39 e 57, de autoria do Vereador Camilo Daniel (PT).</w:t>
      </w:r>
      <w:r w:rsidDel="00000000" w:rsidR="00000000" w:rsidRPr="00000000">
        <w:rPr>
          <w:rFonts w:ascii="Arial" w:cs="Arial" w:eastAsia="Arial" w:hAnsi="Arial"/>
          <w:rtl w:val="0"/>
        </w:rPr>
        <w:t xml:space="preserve"> Também foram retiradas, a requerimento dos respectivos autores, as emendas números: 2, de autoria da Comissão de Finanças, Tomada de Contas e Orçamento; 8, de autoria do Vereador Ricardo Vasconcelos; 54 de autoria do Vereador Camilo Daniel (PT) e 56, de autoria do Vereador Joaquim da Janelinha (PDT). Receberam parecer contrário da Comissão de Finanças, Tomada de Contas e Orçamento as emendas números: 33, 34, 35, 36, 37, 38, 40, 41, 42, 43, 44, 45 46, 47, 48, 49, 50, 51, 52 e 53, todas de autoria da V</w:t>
      </w:r>
      <w:r w:rsidDel="00000000" w:rsidR="00000000" w:rsidRPr="00000000">
        <w:rPr>
          <w:rFonts w:ascii="Arial" w:cs="Arial" w:eastAsia="Arial" w:hAnsi="Arial"/>
          <w:rtl w:val="0"/>
        </w:rPr>
        <w:t xml:space="preserve">ereadora Professora Sônia Meire (PSOL), que apresentou recurso contra a decisão da Comissão, contudo, não obteve o apoio mínimo de ⅓ dos parlamentares, necessário ao seguimento, nos termos do §3º, do art. 221, do Regimento Interno desta Casa.</w:t>
      </w:r>
      <w:r w:rsidDel="00000000" w:rsidR="00000000" w:rsidRPr="00000000">
        <w:rPr>
          <w:rFonts w:ascii="Arial" w:cs="Arial" w:eastAsia="Arial" w:hAnsi="Arial"/>
          <w:rtl w:val="0"/>
        </w:rPr>
        <w:t xml:space="preserve"> Submetidas à discussão em plenário, as </w:t>
      </w:r>
      <w:r w:rsidDel="00000000" w:rsidR="00000000" w:rsidRPr="00000000">
        <w:rPr>
          <w:rFonts w:ascii="Arial" w:cs="Arial" w:eastAsia="Arial" w:hAnsi="Arial"/>
          <w:u w:val="single"/>
          <w:rtl w:val="0"/>
        </w:rPr>
        <w:t xml:space="preserve">emendas ao Projeto de Lei número 303/2024</w:t>
      </w:r>
      <w:r w:rsidDel="00000000" w:rsidR="00000000" w:rsidRPr="00000000">
        <w:rPr>
          <w:rFonts w:ascii="Arial" w:cs="Arial" w:eastAsia="Arial" w:hAnsi="Arial"/>
          <w:rtl w:val="0"/>
        </w:rPr>
        <w:t xml:space="preserve">, de autoria do Poder Executivo: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da Comissão de Finanças, submetida à votação, foi aprovada em votação única. </w:t>
      </w:r>
      <w:r w:rsidDel="00000000" w:rsidR="00000000" w:rsidRPr="00000000">
        <w:rPr>
          <w:rFonts w:ascii="Arial" w:cs="Arial" w:eastAsia="Arial" w:hAnsi="Arial"/>
          <w:u w:val="single"/>
          <w:rtl w:val="0"/>
        </w:rPr>
        <w:t xml:space="preserve">Emenda número 3,</w:t>
      </w:r>
      <w:r w:rsidDel="00000000" w:rsidR="00000000" w:rsidRPr="00000000">
        <w:rPr>
          <w:rFonts w:ascii="Arial" w:cs="Arial" w:eastAsia="Arial" w:hAnsi="Arial"/>
          <w:rtl w:val="0"/>
        </w:rPr>
        <w:t xml:space="preserve"> de autoria da Comissão de Finanças, submetida à votação, foi aprovada em votação única. </w:t>
      </w:r>
      <w:r w:rsidDel="00000000" w:rsidR="00000000" w:rsidRPr="00000000">
        <w:rPr>
          <w:rFonts w:ascii="Arial" w:cs="Arial" w:eastAsia="Arial" w:hAnsi="Arial"/>
          <w:u w:val="single"/>
          <w:rtl w:val="0"/>
        </w:rPr>
        <w:t xml:space="preserve">Emenda número 4</w:t>
      </w:r>
      <w:r w:rsidDel="00000000" w:rsidR="00000000" w:rsidRPr="00000000">
        <w:rPr>
          <w:rFonts w:ascii="Arial" w:cs="Arial" w:eastAsia="Arial" w:hAnsi="Arial"/>
          <w:rtl w:val="0"/>
        </w:rPr>
        <w:t xml:space="preserve">, de autoria da Comissão de Finanças, submetida à votação, foi aprovada em votação única. </w:t>
      </w:r>
      <w:r w:rsidDel="00000000" w:rsidR="00000000" w:rsidRPr="00000000">
        <w:rPr>
          <w:rFonts w:ascii="Arial" w:cs="Arial" w:eastAsia="Arial" w:hAnsi="Arial"/>
          <w:u w:val="single"/>
          <w:rtl w:val="0"/>
        </w:rPr>
        <w:t xml:space="preserve">Emenda número 20</w:t>
      </w:r>
      <w:r w:rsidDel="00000000" w:rsidR="00000000" w:rsidRPr="00000000">
        <w:rPr>
          <w:rFonts w:ascii="Arial" w:cs="Arial" w:eastAsia="Arial" w:hAnsi="Arial"/>
          <w:rtl w:val="0"/>
        </w:rPr>
        <w:t xml:space="preserve">, de autoria da Vereadora Professora Sônia Meire (PSOL), foi discutida pela autora, que recebeu aparte do Vereador Elber Batalha Filho (PSB), e pelos Vereadores Ricardo Marques (CIDADANIA), Emília Corrêa (PL), Isac (UNIÃO BRASIL), e Vinícius Porto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(REDE) requereu que sejam votadas em conjunto as emendas 20, 21, 22 e 23, todas de autoria da Vereadora Professora Sônia Meire (PSOL). </w:t>
      </w:r>
      <w:r w:rsidDel="00000000" w:rsidR="00000000" w:rsidRPr="00000000">
        <w:rPr>
          <w:rFonts w:ascii="Arial" w:cs="Arial" w:eastAsia="Arial" w:hAnsi="Arial"/>
          <w:u w:val="single"/>
          <w:rtl w:val="0"/>
        </w:rPr>
        <w:t xml:space="preserve">Emendas 20, 21, 22 e 23</w:t>
      </w:r>
      <w:r w:rsidDel="00000000" w:rsidR="00000000" w:rsidRPr="00000000">
        <w:rPr>
          <w:rFonts w:ascii="Arial" w:cs="Arial" w:eastAsia="Arial" w:hAnsi="Arial"/>
          <w:rtl w:val="0"/>
        </w:rPr>
        <w:t xml:space="preserve">, todas de autoria da Vereadora Professora Sônia Meire (PSOL), submetidas em conjunto à votação, foram discutidas pela autora e aprovadas em votação única. </w:t>
      </w:r>
      <w:r w:rsidDel="00000000" w:rsidR="00000000" w:rsidRPr="00000000">
        <w:rPr>
          <w:rFonts w:ascii="Arial" w:cs="Arial" w:eastAsia="Arial" w:hAnsi="Arial"/>
          <w:u w:val="single"/>
          <w:rtl w:val="0"/>
        </w:rPr>
        <w:t xml:space="preserve">Emenda número 58</w:t>
      </w:r>
      <w:r w:rsidDel="00000000" w:rsidR="00000000" w:rsidRPr="00000000">
        <w:rPr>
          <w:rFonts w:ascii="Arial" w:cs="Arial" w:eastAsia="Arial" w:hAnsi="Arial"/>
          <w:rtl w:val="0"/>
        </w:rPr>
        <w:t xml:space="preserve">, de autoria do Vereador Ricardo Marques (CIDADANIA), foi discutida pelo autor, pelos Vereadores Elber Batalha Filho (PSB), Pastor Diego (UNIÃO BRASIL), Vinícius Porto (PDT), Professora Sônia Meire (PSOL), Fabiano Oliveira (PP), Josenito Vitale de Jesus (Nitinho, PSD), Isac (UNIÃO BRASIL), Camilo Daniel (PT), Ricardo Marques (CIDADANIA), Professor Bittencourt (PDT), Sargento Byron Estrelas do Mar (MDB), Anderson de Tuca (UNIÃO BRASIL), Ricardo Vasconcelos (PSD), Alexsandro da Conceição (Soneca, PSD), José Américo dos Santos Silva (Bigode do Santa Maria, PSD) e Emília Corrêa (PL). Submetida à votação, a Emenda número 58, de autoria do Vereador Ricardo Marques (CIDADANIA), foi aprovada em votação única, registrado o voto contrário da Vereadora Professora Sônia Meire (PSOL). </w:t>
      </w:r>
      <w:r w:rsidDel="00000000" w:rsidR="00000000" w:rsidRPr="00000000">
        <w:rPr>
          <w:rFonts w:ascii="Arial" w:cs="Arial" w:eastAsia="Arial" w:hAnsi="Arial"/>
          <w:u w:val="single"/>
          <w:rtl w:val="0"/>
        </w:rPr>
        <w:t xml:space="preserve">Projeto de Lei número 303/2024</w:t>
      </w:r>
      <w:r w:rsidDel="00000000" w:rsidR="00000000" w:rsidRPr="00000000">
        <w:rPr>
          <w:rFonts w:ascii="Arial" w:cs="Arial" w:eastAsia="Arial" w:hAnsi="Arial"/>
          <w:rtl w:val="0"/>
        </w:rPr>
        <w:t xml:space="preserve">, de autoria do Poder Executivo, submetido à discussão, foi aprovado em segunda votação. E, como nada mais havia a tratar, o Senhor Presidente convocou nova Sessão Ordinária em onze de dezembro de dois mil e vinte e quatro, e deu por encerrada a sessão às quatorze horas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-209549</wp:posOffset>
              </wp:positionV>
              <wp:extent cx="2743200" cy="1611948"/>
              <wp:effectExtent b="0" l="0" r="0" t="0"/>
              <wp:wrapNone/>
              <wp:docPr id="44" name=""/>
              <a:graphic>
                <a:graphicData uri="http://schemas.microsoft.com/office/word/2010/wordprocessingGroup">
                  <wpg:wgp>
                    <wpg:cNvGrpSpPr/>
                    <wpg:grpSpPr>
                      <a:xfrm>
                        <a:off x="3427175" y="2819000"/>
                        <a:ext cx="2743200" cy="1611948"/>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-209549</wp:posOffset>
              </wp:positionV>
              <wp:extent cx="2743200" cy="1611948"/>
              <wp:effectExtent b="0" l="0" r="0" t="0"/>
              <wp:wrapNone/>
              <wp:docPr id="4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43200" cy="161194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5" name=""/>
              <a:graphic>
                <a:graphicData uri="http://schemas.microsoft.com/office/word/2010/wordprocessingShape">
                  <wps:wsp>
                    <wps:cNvSpPr/>
                    <wps:cNvPr id="6" name="Shape 6"/>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5"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bWPkJYfC6QGPK720hgRiylZgg==">CgMxLjA4AGo7ChRzdWdnZXN0LnB1aWw0cnNscWY5OBIjRGViYXRlcyBDYW1hcmEgTXVuaWNpcGFsIGRlIEFyYWNhanVqOwoUc3VnZ2VzdC54dGsxOGRkemV4aXASI0RlYmF0ZXMgQ2FtYXJhIE11bmljaXBhbCBkZSBBcmFjYWp1ajsKFHN1Z2dlc3Quc2JidGFlaHViN2U0EiNEZWJhdGVzIENhbWFyYSBNdW5pY2lwYWwgZGUgQXJhY2FqdXIhMVFoa01mNnVpanNEdnh1UE01Z19zX09wV0FiTm9RYW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