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56ª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 e vinte e cinco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i w:val="1"/>
          <w:rtl w:val="0"/>
        </w:rPr>
        <w:t xml:space="preserve">Pauta de hoje, dez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301/2024</w:t>
      </w:r>
      <w:r w:rsidDel="00000000" w:rsidR="00000000" w:rsidRPr="00000000">
        <w:rPr>
          <w:rFonts w:ascii="Arial" w:cs="Arial" w:eastAsia="Arial" w:hAnsi="Arial"/>
          <w:rtl w:val="0"/>
        </w:rPr>
        <w:t xml:space="preserve">, de autoria do Vereador Professor Bittencourt (PDT), submetido à apreciação, foi aprovado em redação final.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pediu que as emendas à Lei Orçamentária sejam analisadas na quinta feira.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esclareceu que as emendas devem ser protocoladas até amanhã às nove e quinze da manhã, e que na mesma data iniciará a discussão da Lei Orçamentária. E, como nada mais havia a tratar, o Senhor Presidente convocou Sessão Ordinária para onze de dezembro de dois mil e vinte e quatro, no horário regimental, e deu por encerrada a sessão às quatorze horas e vinte e 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Qio21TjqBhpPycVw0dPp9RR2Q==">CgMxLjA4AHIhMWUxa0JjTGN5RElhY0puVVhNZnVIZzNEVFB0SXYwUGh5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