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32ª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18 DE OUTUBRO DE 2023</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o Senhor Presidente Vereador </w:t>
      </w:r>
      <w:r w:rsidDel="00000000" w:rsidR="00000000" w:rsidRPr="00000000">
        <w:rPr>
          <w:rFonts w:ascii="Arial" w:cs="Arial" w:eastAsia="Arial" w:hAnsi="Arial"/>
          <w:rtl w:val="0"/>
        </w:rPr>
        <w:t xml:space="preserve">Ricardo Vasconcelos (REDE)</w:t>
      </w:r>
      <w:r w:rsidDel="00000000" w:rsidR="00000000" w:rsidRPr="00000000">
        <w:rPr>
          <w:rFonts w:ascii="Arial" w:cs="Arial" w:eastAsia="Arial" w:hAnsi="Arial"/>
          <w:rtl w:val="0"/>
        </w:rPr>
        <w:t xml:space="preserve"> declarou aberta a Sessão, com o Primeiro Secretário,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Presentes na abertura da Sessão os Senhores Vereadores: 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três).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Lidas as Atas das vigésima nona, trigésima e trigésima primeira sessões extraordinárias, aprovadas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Emenda à Lei Orgânica número 4/2021, de autoria do Vereador Pastor Diego (PP), e o requerimento número 712/2023, de autoria do Vereador Pastor Diego (PP). </w:t>
      </w:r>
      <w:r w:rsidDel="00000000" w:rsidR="00000000" w:rsidRPr="00000000">
        <w:rPr>
          <w:rFonts w:ascii="Arial" w:cs="Arial" w:eastAsia="Arial" w:hAnsi="Arial"/>
          <w:i w:val="1"/>
          <w:rtl w:val="0"/>
        </w:rPr>
        <w:t xml:space="preserve">Não houveram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três). Pauta de hoje, dezoito de outubro de dois mil e vinte e três. Requerimento 712/2023, foi discutido pelo Vereadores Vinícius Porto (PDT), Ricardo Vasconcelos (REDE), Pastor Diego (PP), Breno Garibalde (UNIÃO BRASIL), Isac (PDT), José Américo dos Santos Silva (Bigode do Santa Maria, PSD), Sargento Byron Estrelas do Mar (REPUBLICANOS), Emília Corrêa (PATRIOTA), Anderson de Tuca, PDT), Ricardo Marques (Cidadania), Professor Bittencourt (PDT), Elber Batalha Filho (PSB). Submetido à Votação Nominal, o Requerimento número 712/2023 foi aprovado, com vinte e dois votos Sim, dos Vereadores: 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Para constar, lavrou-se esta ata, que, após aprovada, será assinada pela Mesa Diretora, o inteiro teor da reunião foi gravado, e as notas taquigráficas, após decodificadas, integram este documento.  E, como nada mais havia a tratar, o Senhor Presidente deu por encerrada a sessão às treze horas e cinquenta e seis minutos.</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outubro de dois mil e vinte e três.</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eFfo70my+xlPi5qgCRihPoDUA==">CgMxLjA4AHIhMWY1SkVNckwwT3VvdzZPOFl4RUcydE5ncEtkNWowX3BL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