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89ª SESSÃO ORDINÁRIA (NÃO DELIBERATIVA)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17 DE OUTUBRO DE 2023.</w:t>
      </w:r>
    </w:p>
    <w:p w:rsidR="00000000" w:rsidDel="00000000" w:rsidP="00000000" w:rsidRDefault="00000000" w:rsidRPr="00000000" w14:paraId="0000000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line="276" w:lineRule="auto"/>
        <w:ind w:firstLine="0"/>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Primeiro Secretário, Vereador Breno Garibalde (UNIÃO BRASIL),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Segundo Secretário, Vereador Breno Garibalde (UNIÃO BRASIL). Presentes na abertura da Sessão os Senhores Vereadores: José Américo dos Santos Silva (Bigode do Santa Maria, PSD), Breno Garibalde (UNIÃO BRASIL), Cícero do Santa Maria (PODEMOS), Eduardo Lima (REPUBLICANOS), Emília Corrêa (PATRIOTA), Milton Dantas (Miltinho, PDT), José Ailton Nascimento (Paquito de Todos, SOLIDARIEDADE), Ricardo Marques (CIDADANIA), Sargento Byron Estrelas do Mar (REPUBLICANOS). No decorrer da Sessão foi registrada a presença dos Vereadores: Anderson de Tuca (PDT),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Elber Batalha Filho (PSB), Fabiano Oliveira (PP),  Josenito Vitale de Jesus (Nitinho, PSD), Pastor Diego (PP), Professor Bittencourt (PDT), Professora Sônia Meire (PSOL), Ricardo Vasconcelos (REDE), Sheyla Galba (CIDADANIA), Alexsandro da Conceição (Soneca, PSD), Vinícius Porto (PDT) e Norberto Alves Júnior (Zezinho do Bugio, PSB), (vinte e dois), e ausente o Vereador Isac, PDT),  com justificativa. Ato contínuo, o Senhor Presidente determinou um minuto de silêncio em homenagem póstuma à Vereadora Professora Ângela Melo e a Gil Rosas.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88ª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266/2021, de autoria da Vereadora Emília Corrêa (PATRIOTA), institui no âmbito do Município de Aracaju diretrizes do programa “Mulher viva‟, destinado ao apoio às mulheres em situação de violência doméstica e familiar; 229/2022, de autoria da ex-Vereadora Linda Brasil (PSOL), cria o programa de atenção às pessoas com transtorno de acumulação compulsiva de animais no município de Aracaju e dá outras providências; 248/2023, de autoria do Vereador Norberto Alves Júnior (Zezinho do Bugio, PSB), dispõe sobre a proibição do uso de grampo, metal ou ferro em embalagens de  alimentação delivery e dá providências correlatas; 330/2023, de autoria do Vereador Breno Garibalde (UNIÃO BRASIL), denomina Rua Mãe Nair, a atual Rua C, no loteamento Jardim Santos Dumont, no bairro Santos Dumont e dá providências correlatas. Projetos de Decreto Legislativo números 58/2023, de autoria da Vereadora Sheyla Galba (CIDADANIA), concede título de cidadania aracajuana ao Senhor Vitor Agnaldo de Menezes e dá outras providências; 59/2023, de autoria do Vereador Elber Batalha Filho (PSB), concede Título de Cidadania Aracajuana ao Senhor Walderi Monteiro da Silva Júnior e dá outras providências; 60/2023, de autoria do Vereador Ricardo Marques (CIDADANIA), concede o Título de Cidadania Aracajuana a Senhora Adriana Batista da Silva e dá outras providências. Requerimentos números 672/2023, 675/2023, 676/2023, e 677/2023, todos de autoria da Vereadora Emília Corrêa (PATRIOTA); 709/2023, de autoria da Mesa Diretora. Indicações números 1674/2023 a 1683/2023, de autoria do Vereador Breno Garibalde (UNIÃO BRASIL), 1698/2023 a 1700/2023, de autoria do Vereador Eduardo Lima (REPUBLICANOS); 2038/2023 e 2068/2023, de autoria do Vereador Ricardo Vasconcelos (REDE); 2126/2023, de autoria do Vereador Breno Garibalde (UNIÃO BRASIL); 2127/2023 a 2130/2023, de autoria do Vereador José Américo dos Santos Silva (Bigode do Santa Maria, PSD); 2133/2023 a 2138/2023, de autoria do Vereador Eduardo Lima (REPUBLICANOS). Ofício sem número do Gabinete da Presidência, convocando o senhor Camilo Feitosa Daniel, num prazo de trinta dias, a apresentar a documentação pertinente para assumir o cargo de Vereador do Município de Aracaju e assinar o respectivo Termo de Posse.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Vereadores José Ailton Nascimento (Paquito de Todos, SOLIDARIEDADE), José Américo dos Santos Silva (Bigode do Santa Maria, PSD) e Breno Garibalde (UNIÃO BRASIL), parabenizaram </w:t>
      </w:r>
      <w:r w:rsidDel="00000000" w:rsidR="00000000" w:rsidRPr="00000000">
        <w:rPr>
          <w:rFonts w:ascii="Arial" w:cs="Arial" w:eastAsia="Arial" w:hAnsi="Arial"/>
          <w:rtl w:val="0"/>
        </w:rPr>
        <w:t xml:space="preserve">Thiago Par</w:t>
      </w:r>
      <w:r w:rsidDel="00000000" w:rsidR="00000000" w:rsidRPr="00000000">
        <w:rPr>
          <w:rFonts w:ascii="Arial" w:cs="Arial" w:eastAsia="Arial" w:hAnsi="Arial"/>
          <w:rtl w:val="0"/>
        </w:rPr>
        <w:t xml:space="preserve">anhos, técnico de audiovisual na Câmara, pelo aniversário dele.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Pela Ordem a Vereadora Emília Corrêa (PATRIOTA)</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registrou preocupação com o andamento das pautas, pois semana passada não houve deliberação por motivo de luto e pelo feriado da quinta feira, questionando qual o motivo da sessão de hoje ser não deliberativa. O presidente leu ofício que convoca Camilo Feitosa Daniel para assumir o cargo de Vereador nesta casa, indicando que ele possui prazo de trinta dias para apresentar a documentação pertinente. Usou a tribuna livre a cidadã </w:t>
      </w:r>
      <w:r w:rsidDel="00000000" w:rsidR="00000000" w:rsidRPr="00000000">
        <w:rPr>
          <w:rFonts w:ascii="Arial" w:cs="Arial" w:eastAsia="Arial" w:hAnsi="Arial"/>
          <w:i w:val="1"/>
          <w:rtl w:val="0"/>
        </w:rPr>
        <w:t xml:space="preserve">Ana Tereza de Andrade</w:t>
      </w:r>
      <w:r w:rsidDel="00000000" w:rsidR="00000000" w:rsidRPr="00000000">
        <w:rPr>
          <w:rFonts w:ascii="Arial" w:cs="Arial" w:eastAsia="Arial" w:hAnsi="Arial"/>
          <w:rtl w:val="0"/>
        </w:rPr>
        <w:t xml:space="preserve">, Presidente do Conselho Regional de Odontologia</w:t>
      </w:r>
      <w:r w:rsidDel="00000000" w:rsidR="00000000" w:rsidRPr="00000000">
        <w:rPr>
          <w:rFonts w:ascii="Arial" w:cs="Arial" w:eastAsia="Arial" w:hAnsi="Arial"/>
          <w:rtl w:val="0"/>
        </w:rPr>
        <w:t xml:space="preserve">, que sentiu-se honrada em ocupar a tribuna desta casa. Agradeceu ao Vereador Milton Dantas (Miltinho, PDT) </w:t>
      </w:r>
      <w:r w:rsidDel="00000000" w:rsidR="00000000" w:rsidRPr="00000000">
        <w:rPr>
          <w:rFonts w:ascii="Arial" w:cs="Arial" w:eastAsia="Arial" w:hAnsi="Arial"/>
          <w:rtl w:val="0"/>
        </w:rPr>
        <w:t xml:space="preserve">por solicitar essa sessão</w:t>
      </w:r>
      <w:r w:rsidDel="00000000" w:rsidR="00000000" w:rsidRPr="00000000">
        <w:rPr>
          <w:rFonts w:ascii="Arial" w:cs="Arial" w:eastAsia="Arial" w:hAnsi="Arial"/>
          <w:rtl w:val="0"/>
        </w:rPr>
        <w:t xml:space="preserve">. Afirmou que a saúde bucal é essencial para a saúde sistêmica do indivíduo e que é dever de todos levar conhecimento sobre a importância da saúde bucal para a população. Pediu o apoio dos Vereadores desta sessão para alcançar esse objetivo. Afirmou que, no âmbito do esporte, a saúde bucal impacta no rendimento dos atletas e é papel do cirurgião- dentista identificar quais alterações na cavidade bucal podem ser causadas pela atividade esportiva, além de orientar sobre prevenção de traumatismos orofaciais. Disse que atletas amadores também podem se beneficiar da atuação da odontologia dos esportes. </w:t>
      </w:r>
      <w:r w:rsidDel="00000000" w:rsidR="00000000" w:rsidRPr="00000000">
        <w:rPr>
          <w:rFonts w:ascii="Arial" w:cs="Arial" w:eastAsia="Arial" w:hAnsi="Arial"/>
          <w:rtl w:val="0"/>
        </w:rPr>
        <w:t xml:space="preserve">Lembrou que é a primeira Presidente mulher do CRO em mais de cinquenta anos e comentou sobre as campanha</w:t>
      </w:r>
      <w:r w:rsidDel="00000000" w:rsidR="00000000" w:rsidRPr="00000000">
        <w:rPr>
          <w:rFonts w:ascii="Arial" w:cs="Arial" w:eastAsia="Arial" w:hAnsi="Arial"/>
          <w:rtl w:val="0"/>
        </w:rPr>
        <w:t xml:space="preserve">s “Meu Sorriso Ninguém Tira”, contra o assédio sexual nos consutórios e “Toda Mulher Merece Sorrir”, de apoio odontológico a mulheres vítimas de violência.  Indicou que as campanhas contam com o apoio de diversos órgãos públicos e instituições privadas. Comentou sobre a forma da cobrança da taxa de Vigilância Sanitária dos dentistas afirmando é realizada sobre o </w:t>
      </w:r>
      <w:r w:rsidDel="00000000" w:rsidR="00000000" w:rsidRPr="00000000">
        <w:rPr>
          <w:rFonts w:ascii="Arial" w:cs="Arial" w:eastAsia="Arial" w:hAnsi="Arial"/>
          <w:rtl w:val="0"/>
        </w:rPr>
        <w:t xml:space="preserve">Cadastro de Pessoas Físicas</w:t>
      </w:r>
      <w:r w:rsidDel="00000000" w:rsidR="00000000" w:rsidRPr="00000000">
        <w:rPr>
          <w:rFonts w:ascii="Arial" w:cs="Arial" w:eastAsia="Arial" w:hAnsi="Arial"/>
          <w:highlight w:val="white"/>
          <w:rtl w:val="0"/>
        </w:rPr>
        <w:t xml:space="preserve"> (CPF)</w:t>
      </w:r>
      <w:r w:rsidDel="00000000" w:rsidR="00000000" w:rsidRPr="00000000">
        <w:rPr>
          <w:rFonts w:ascii="Arial" w:cs="Arial" w:eastAsia="Arial" w:hAnsi="Arial"/>
          <w:rtl w:val="0"/>
        </w:rPr>
        <w:t xml:space="preserve"> do cirurgião-dentista, de forma que um mesmo recinto odontológico é fiscalizado somente uma vez, mas é cobrado duas ou três vezes, dependendo do número de dentistas que partilhem o espaço fiscalizado. Ressaltou que isso constitui cobrança injustificada, pois somente é necessária uma fiscalização por ambiente de atendimento. Solicitou apoio dos Vereadores para cobrar o cumprimento do piso salarial dos dentistas, pois a maioria dos municípios não pagam o valor mínimo determinado em lei. Fizeram interpelações os Vereadores </w:t>
      </w:r>
      <w:r w:rsidDel="00000000" w:rsidR="00000000" w:rsidRPr="00000000">
        <w:rPr>
          <w:rFonts w:ascii="Arial" w:cs="Arial" w:eastAsia="Arial" w:hAnsi="Arial"/>
          <w:i w:val="1"/>
          <w:rtl w:val="0"/>
        </w:rPr>
        <w:t xml:space="preserve">Breno Garibalde (UNIÃO BRASIL),</w:t>
      </w:r>
      <w:r w:rsidDel="00000000" w:rsidR="00000000" w:rsidRPr="00000000">
        <w:rPr>
          <w:rFonts w:ascii="Arial" w:cs="Arial" w:eastAsia="Arial" w:hAnsi="Arial"/>
          <w:rtl w:val="0"/>
        </w:rPr>
        <w:t xml:space="preserve"> Milton Dantas (Miltinho, PDT), </w:t>
      </w:r>
      <w:r w:rsidDel="00000000" w:rsidR="00000000" w:rsidRPr="00000000">
        <w:rPr>
          <w:rFonts w:ascii="Arial" w:cs="Arial" w:eastAsia="Arial" w:hAnsi="Arial"/>
          <w:i w:val="1"/>
          <w:rtl w:val="0"/>
        </w:rPr>
        <w:t xml:space="preserve">Emília Corrêa (PATRIOTA),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Vinícius Porto (PDT),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i w:val="1"/>
          <w:rtl w:val="0"/>
        </w:rPr>
        <w:t xml:space="preserve">, Professor Bittencourt (PDT),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Elber Batalha Filho (PSB), Josenito Vitale de Jesus (Nitinho, PSD)</w:t>
      </w:r>
      <w:r w:rsidDel="00000000" w:rsidR="00000000" w:rsidRPr="00000000">
        <w:rPr>
          <w:rFonts w:ascii="Arial" w:cs="Arial" w:eastAsia="Arial" w:hAnsi="Arial"/>
          <w:rtl w:val="0"/>
        </w:rPr>
        <w:t xml:space="preserve"> cujo inteiro teor consta nos anais deste Poder.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Vinícius Porto (PDT) disse que costuma acompanhar as redes sociais dos Vereadores desta Casa e que percebeu que muitos já estão apoiando pessoas diversas para a próxima candidatura à prefeito de Aracaju. Aconselhou outros da Casa a não ficarem sozinhas e isoladas politicamente, pois achou que a oposição estaria unida em torno de um candidato, mas que isso não se concretizou. Informou que em um recente evento foram anunciadas diversas obras que serão iniciadas em Aracaju, e que lá, contou com vídeo da atual presidente do Banco dos BRICS, Dilma Rousseff, no qual ela disse que um dos motivos para a escolha de Aracaju, para os investimentos, foi a presença do prefeito Edvaldo Nogueira em Xangai e que insinuações sobre a viagem à China do prefeito foi desperdício de dinheiro, são acusações infundadas. O Vereador </w:t>
      </w:r>
      <w:r w:rsidDel="00000000" w:rsidR="00000000" w:rsidRPr="00000000">
        <w:rPr>
          <w:rFonts w:ascii="Arial" w:cs="Arial" w:eastAsia="Arial" w:hAnsi="Arial"/>
          <w:i w:val="1"/>
          <w:rtl w:val="0"/>
        </w:rPr>
        <w:t xml:space="preserve">Norberto Alves Júnior (Zezinho do Bugio, PSB) </w:t>
      </w:r>
      <w:r w:rsidDel="00000000" w:rsidR="00000000" w:rsidRPr="00000000">
        <w:rPr>
          <w:rFonts w:ascii="Arial" w:cs="Arial" w:eastAsia="Arial" w:hAnsi="Arial"/>
          <w:rtl w:val="0"/>
        </w:rPr>
        <w:t xml:space="preserve">afirmou que hoje os cidadãos sofrem por falta de planejamento em saneamento e tratamento de esgoto e que recentemente foram anunciados quinhentos milhões de reais de investimentos em Aracaju, o que irá contribuir para a melhoria desse problema. Disse que mora no Bugio e acompanhou a evolução do bairro, ressaltando que há muitos anos os governantes não cobravam o correto planejamento e qualidade na execução das obras. Parabenizou o prefeito Edvaldo Nogueira e sua equipe por realizarem projetos com planejamento e execução adequados. O Vereador  </w:t>
      </w:r>
      <w:r w:rsidDel="00000000" w:rsidR="00000000" w:rsidRPr="00000000">
        <w:rPr>
          <w:rFonts w:ascii="Arial" w:cs="Arial" w:eastAsia="Arial" w:hAnsi="Arial"/>
          <w:i w:val="1"/>
          <w:rtl w:val="0"/>
        </w:rPr>
        <w:t xml:space="preserve">Anderson de Tuca (PDT) </w:t>
      </w:r>
      <w:r w:rsidDel="00000000" w:rsidR="00000000" w:rsidRPr="00000000">
        <w:rPr>
          <w:rFonts w:ascii="Arial" w:cs="Arial" w:eastAsia="Arial" w:hAnsi="Arial"/>
          <w:rtl w:val="0"/>
        </w:rPr>
        <w:t xml:space="preserve">falou sobre a busca da reforma à Praça do Siqueira Campos, indicou que em setembro de dois mil e vinte e dois realizou visita à localidade junto com Antônio Sérgio Ferrari, Secretário da Infraestrutura de Aracaju, e que recentemente se reuniu com o Prefeito de Aracaju para discutir essa obra. Afirmou que após o recente anúncio de diversas obras que serão realizadas em Aracaju, espera que a revitalização da Praça do Siqueira seja uma delas. Pela ordem, o Vereador Sargento Byron Estrelas do Mar (REPUBLICANOS) justificou a ausência dele para atender a compromisso no Teatro Tobias Barreto. Pela ordem, 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informou que iria se ausentar da Sessão para receber a </w:t>
      </w:r>
      <w:r w:rsidDel="00000000" w:rsidR="00000000" w:rsidRPr="00000000">
        <w:rPr>
          <w:rFonts w:ascii="Arial" w:cs="Arial" w:eastAsia="Arial" w:hAnsi="Arial"/>
          <w:highlight w:val="white"/>
          <w:rtl w:val="0"/>
        </w:rPr>
        <w:t xml:space="preserve">Medalha do Mérito da Superação,</w:t>
      </w:r>
      <w:r w:rsidDel="00000000" w:rsidR="00000000" w:rsidRPr="00000000">
        <w:rPr>
          <w:rFonts w:ascii="Arial" w:cs="Arial" w:eastAsia="Arial" w:hAnsi="Arial"/>
          <w:rtl w:val="0"/>
        </w:rPr>
        <w:t xml:space="preserve"> na Assembleia Legislativa de Sergipe. O Vereador </w:t>
      </w:r>
      <w:r w:rsidDel="00000000" w:rsidR="00000000" w:rsidRPr="00000000">
        <w:rPr>
          <w:rFonts w:ascii="Arial" w:cs="Arial" w:eastAsia="Arial" w:hAnsi="Arial"/>
          <w:rtl w:val="0"/>
        </w:rPr>
        <w:t xml:space="preserve">Elber Batalha questionou à mesa diretora quanto ao envio de moção de pesar, e que esta seria subscrita por todos os Vereadores. </w:t>
      </w:r>
      <w:r w:rsidDel="00000000" w:rsidR="00000000" w:rsidRPr="00000000">
        <w:rPr>
          <w:rFonts w:ascii="Arial" w:cs="Arial" w:eastAsia="Arial" w:hAnsi="Arial"/>
          <w:i w:val="1"/>
          <w:rtl w:val="0"/>
        </w:rPr>
        <w:t xml:space="preserve">Ato contínuo,</w:t>
      </w:r>
      <w:r w:rsidDel="00000000" w:rsidR="00000000" w:rsidRPr="00000000">
        <w:rPr>
          <w:rFonts w:ascii="Arial" w:cs="Arial" w:eastAsia="Arial" w:hAnsi="Arial"/>
          <w:rtl w:val="0"/>
        </w:rPr>
        <w:t xml:space="preserve"> a Mesa Diretora esclareceu que o Vereador propõe a moção de pesar e solicita a subscrição de todos.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O Vereador </w:t>
      </w:r>
      <w:r w:rsidDel="00000000" w:rsidR="00000000" w:rsidRPr="00000000">
        <w:rPr>
          <w:rFonts w:ascii="Arial" w:cs="Arial" w:eastAsia="Arial" w:hAnsi="Arial"/>
          <w:i w:val="1"/>
          <w:rtl w:val="0"/>
        </w:rPr>
        <w:t xml:space="preserve">Milton Dantas (Miltinho, PDT)</w:t>
      </w:r>
      <w:r w:rsidDel="00000000" w:rsidR="00000000" w:rsidRPr="00000000">
        <w:rPr>
          <w:rFonts w:ascii="Arial" w:cs="Arial" w:eastAsia="Arial" w:hAnsi="Arial"/>
          <w:rtl w:val="0"/>
        </w:rPr>
        <w:t xml:space="preserve">, que parabenizou o Clube Sportivo Sergipe pelos cento e quatorze anos de história e mencionou o filme “A Guerra dos Sexos”, exibido na televisão, e comparou-o à eleição da Doutora Ana Tereza, na presidência do Conselho Regional de Odontologia, ocupando um espaço antes exclusivamente masculino. O Vereador destacou a importância da ocupação dos espaços pelas mulheres, no mercado de trabalho e na política. O Parlamentar abordou, então, o lançamento de diversas obras pelo Prefeito Edvaldo Nogueira, em evento prestigiado por diversas autoridades, e os diversos avanços para Aracaju proporcionados pelas obras. Disse então que teve contato com várias comunidades beneficiadas pelas obras oriundas do empréstimo de quinhentos milhões obtidos junto ao BRICS, e entre elas está a infraestrutura do canal da zona de expansão, que beneficiará muito à população do local, possibilitando mais investimento e crescimento, assim como o saneamento integrado nos Bairros Porto Dantas, Santa Maria, Atalaia, Cidade Nova, Farolândia e Aeroporto, cuja necessidade é urgente. Ressaltou que o Prefeito fez gesto de muita transparência e honestidade, cobrando a pronta fiscalização do Tribunal de Contas já no evento de lançamento das obras, e que o líder do executivo municipal se orgulha muito do legado que deixará, até porque muitas das obras já asseguradas por ele serão inauguradas pelo próximo Prefeito. Noutro tema, mencionou o extenso calendário da Federação Sergipana, o anúncio do Campeonato Sergipano Sub-15, quando disse que a realização dessas competições, com recursos próprios, é demonstração de inclusão social e realização de sonhos. Finalizou, mencionando a realização do Camp</w:t>
      </w:r>
      <w:r w:rsidDel="00000000" w:rsidR="00000000" w:rsidRPr="00000000">
        <w:rPr>
          <w:rFonts w:ascii="Arial" w:cs="Arial" w:eastAsia="Arial" w:hAnsi="Arial"/>
          <w:rtl w:val="0"/>
        </w:rPr>
        <w:t xml:space="preserve">eonato Sergipano Sub-17, Série A2 e do Campeonato Sergipano Feminino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Josenito Vitale de Jesus (Nitinho, PSD)</w:t>
      </w:r>
      <w:r w:rsidDel="00000000" w:rsidR="00000000" w:rsidRPr="00000000">
        <w:rPr>
          <w:rFonts w:ascii="Arial" w:cs="Arial" w:eastAsia="Arial" w:hAnsi="Arial"/>
          <w:rtl w:val="0"/>
        </w:rPr>
        <w:t xml:space="preserve"> abordou a negativa de emissão de Carteira de Identificação da Pessoa com Fibromialgia, e que designou parte da Assessoria dele para identificar o motivo, recebendo resposta desaforada da Secretaria da Saúde, que disse não emitir a Carteira, e orientou a andar com laudo médico. O Vereador disse ser uma postura irresponsável, desrespeitosa e de descaso com os pacientes com fibromialgia, em sua maioria mulheres, e que ingressou com procedimento junto ao Ministério Público Estadual, visando a tomada de providências. Fizeram apartes os Vereadores Elber Batalha Filho (PSB), Emília Corrêa (PATRIOTA), e Professora Sônia Meire (PSOL).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Milton Dantas (Miltinho, PDT) justificou a ausência do Vereador Isac (PDT), para tratamento de saúde. O Vereador </w:t>
      </w:r>
      <w:r w:rsidDel="00000000" w:rsidR="00000000" w:rsidRPr="00000000">
        <w:rPr>
          <w:rFonts w:ascii="Arial" w:cs="Arial" w:eastAsia="Arial" w:hAnsi="Arial"/>
          <w:i w:val="1"/>
          <w:rtl w:val="0"/>
        </w:rPr>
        <w:t xml:space="preserve">José Ailton Nascimento (Paquito de Todos, SOLIDARIEDADE)</w:t>
      </w:r>
      <w:r w:rsidDel="00000000" w:rsidR="00000000" w:rsidRPr="00000000">
        <w:rPr>
          <w:rFonts w:ascii="Arial" w:cs="Arial" w:eastAsia="Arial" w:hAnsi="Arial"/>
          <w:rtl w:val="0"/>
        </w:rPr>
        <w:t xml:space="preserve"> parabenizou a realização da Copa Parque, realizada no Parque da Cidade Aracaju, e aos clubes participantes, que têm trazido incentivo à prática de esporte pelos jovens, o que reputa importantíssimo. O Parlamentar, ainda no assunto, cobrou as obras no Parque, prometidas pelo Governo do Estado, destacando as potencialidades do local em benefício da população. Disse também que ontem, no auditório da EMURB, houve a presença de diversas autoridades para acompanhar o novo projeto para Aracaju, e com imensa alegria o povo receberá quinhentos milhões de reais de benfeitorias e progresso. O Vereador deu destaque à importância do Canal a ser executado no Bairro Santa Maria, e que se sente honrado de acompanhar o mandato do Prefeito Edvaldo Nogueira, e que os benefícios do empréstimo junto ao BRICS contemplarão obras por toda a cidade, como a revitalização dos Loteamentos Visconde de Maracaju, Cidade Nova, São Sebastião e Alto da Jaqueira, cobranças dele e de outros vereadores, que devem sentir orgulho em ter aprovado o empréstimo. Pediu paciência à população pelos transtornos temporários das obras, mas que, assim que forem concluídas, Aracaju será uma nova cidade, sem os problemas pelos quais passam as pessoas que vivem hoje nos bairros beneficiados. Fizeram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Breno Garibalde (UNIÃO BRASIL), Cícero do Santa Maria (PODEMOS) e Josenito Vitale de Jesus (Nitinho, PSD). Assumiu a presidência o Vereador Ricardo Vasconcelos (REDE). O Vereador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narrou a participação dele em três festas de Dia das Crianças, nos Bairros Suíça, Santos Dumont e São Conrado. Aproveitou para falar sobre o conflito entre Israel e Palestina, e da violência praticada ali contra crianças, e que tratará mais detalhadamente do tema em outra oportunidade. Abordou relato que recebeu, acerca da falta de médicos, há mais de cinquenta dias na Unidade Básica de Saúde (UBS) Doutor Onésimo Pinto. Informou que emendas direcionadas por ele já estão sendo aplicadas, a exemplo dos trinta mil reais dirigidos à Secretaria de Esporte. Disse, entretanto, que estamos em outubro, e os maiores valores das emendas destinadas não serão aplicadas no corrente ano pela falta de tempo hábil, solicitando uma conversa transparente com o Poder Executivo acerca do tema, e destacando as diversas obras indicadas e instituições que se prepararam para receber os recursos destinados pelos Vereadores. Finalizou cobrando providências da Presidência desta Casa e dizendo que precisa saber o que vai informar às organizações e a comunidades que não serão beneficiadas pelas emendas destinadas. </w:t>
      </w:r>
      <w:r w:rsidDel="00000000" w:rsidR="00000000" w:rsidRPr="00000000">
        <w:rPr>
          <w:rFonts w:ascii="Arial" w:cs="Arial" w:eastAsia="Arial" w:hAnsi="Arial"/>
          <w:i w:val="1"/>
          <w:rtl w:val="0"/>
        </w:rPr>
        <w:t xml:space="preserve">Ato contínuo</w:t>
      </w:r>
      <w:r w:rsidDel="00000000" w:rsidR="00000000" w:rsidRPr="00000000">
        <w:rPr>
          <w:rFonts w:ascii="Arial" w:cs="Arial" w:eastAsia="Arial" w:hAnsi="Arial"/>
          <w:rtl w:val="0"/>
        </w:rPr>
        <w:t xml:space="preserve">, o Senhor Presidente esclareceu que está aguardando um cronograma de pagamentos a ser apresentado pelo Prefeito, que fez todas as cobranças e tomou as diligências possíveis, e que esta Casa não aceitará que as emendas fiquem pendentes ou em restos a pagar. Esclareceu ainda que hoje não haverá Ordem do Dia, pois foi avisado que vários Vereadores teriam que se ausentar, não havendo quórum e que os Vetos encaminhados pelo Poder Executivo trancaram a pauta, sendo colocados em votação amanhã, havendo assim tempo hábil para análise.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Emília Corrêa (PATRIOTA) reiterou a preocupação com as Emendas Impositivas, sugerindo a judicialização, se necessário.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pugnou pela votação de requerimento de audiência pública para tratar de Projeto de Lei acerca do combate ao racismo em lojas da Capital. Para constar, lavrou-se esta ata, que, após aprovada, será assinada pela Mesa Diretora, o inteiro teor da reunião foi gravado, e as notas taquigráficas, após decodificadas, integram este documento.  E, como nada mais havia a tratar, o Senhor Presidente convocou Sessão Ordinária em dezoito de outubro de dois mil e vinte e três, na hora Regimental, e deu por encerrada a Sessão às onze horas e vinte minutos.</w:t>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 de outubro de dois mil e vinte e três.</w:t>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C">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133.8582677165355" w:top="1700.7874015748032" w:left="1700.7874015748032" w:right="1133.8582677165355"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0E">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m7QmjJ1q2vB5mLJI7b97pJaNg==">CgMxLjA4AHIhMTdqTGhJRVNYOVQwMUczQ3cybDl3M2U4WHFQa0UxZEFx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